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0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tblGrid>
      <w:tr w:rsidR="00F02521" w:rsidRPr="00E90989" w14:paraId="4C9B2725" w14:textId="77777777" w:rsidTr="001D6101">
        <w:trPr>
          <w:trHeight w:val="2356"/>
        </w:trPr>
        <w:tc>
          <w:tcPr>
            <w:tcW w:w="1994" w:type="dxa"/>
            <w:tcBorders>
              <w:top w:val="nil"/>
              <w:left w:val="nil"/>
              <w:bottom w:val="nil"/>
              <w:right w:val="nil"/>
            </w:tcBorders>
            <w:shd w:val="clear" w:color="auto" w:fill="auto"/>
          </w:tcPr>
          <w:p w14:paraId="3D146042" w14:textId="77777777" w:rsidR="00F02521" w:rsidRPr="00E90989" w:rsidRDefault="00F02521" w:rsidP="00E90989">
            <w:pPr>
              <w:spacing w:after="0" w:line="240" w:lineRule="auto"/>
              <w:rPr>
                <w:b/>
              </w:rPr>
            </w:pPr>
            <w:r w:rsidRPr="00E90989">
              <w:rPr>
                <w:b/>
              </w:rPr>
              <w:t xml:space="preserve">Dr. </w:t>
            </w:r>
            <w:r w:rsidR="00463E17">
              <w:rPr>
                <w:b/>
              </w:rPr>
              <w:t>J.P. Hopcroft</w:t>
            </w:r>
          </w:p>
          <w:p w14:paraId="51BD8D08" w14:textId="77777777" w:rsidR="00F02521" w:rsidRPr="00E90989" w:rsidRDefault="00463E17" w:rsidP="00E90989">
            <w:pPr>
              <w:spacing w:after="0" w:line="240" w:lineRule="auto"/>
              <w:rPr>
                <w:b/>
              </w:rPr>
            </w:pPr>
            <w:r>
              <w:rPr>
                <w:b/>
              </w:rPr>
              <w:t>Dr. R.T. Summers</w:t>
            </w:r>
          </w:p>
          <w:p w14:paraId="6FD84990" w14:textId="77777777" w:rsidR="00F02521" w:rsidRPr="00E90989" w:rsidRDefault="00463E17" w:rsidP="00E90989">
            <w:pPr>
              <w:spacing w:after="0" w:line="240" w:lineRule="auto"/>
              <w:rPr>
                <w:b/>
              </w:rPr>
            </w:pPr>
            <w:r>
              <w:rPr>
                <w:b/>
              </w:rPr>
              <w:t>Dr. C.J. Wright</w:t>
            </w:r>
          </w:p>
          <w:p w14:paraId="578B1B76" w14:textId="77777777" w:rsidR="00F02521" w:rsidRPr="00E90989" w:rsidRDefault="00463E17" w:rsidP="00E90989">
            <w:pPr>
              <w:spacing w:after="0" w:line="240" w:lineRule="auto"/>
              <w:rPr>
                <w:b/>
              </w:rPr>
            </w:pPr>
            <w:r>
              <w:rPr>
                <w:b/>
              </w:rPr>
              <w:t>Dr. A. Mayet</w:t>
            </w:r>
          </w:p>
          <w:p w14:paraId="0EA96B57" w14:textId="77777777" w:rsidR="00F02521" w:rsidRPr="00E90989" w:rsidRDefault="00463E17" w:rsidP="00E90989">
            <w:pPr>
              <w:spacing w:after="0" w:line="240" w:lineRule="auto"/>
              <w:rPr>
                <w:b/>
              </w:rPr>
            </w:pPr>
            <w:r>
              <w:rPr>
                <w:b/>
              </w:rPr>
              <w:t>Dr. P. Afsar</w:t>
            </w:r>
          </w:p>
          <w:p w14:paraId="1487AA8C" w14:textId="77777777" w:rsidR="00F02521" w:rsidRDefault="00463E17" w:rsidP="00E90989">
            <w:pPr>
              <w:spacing w:after="0" w:line="240" w:lineRule="auto"/>
              <w:rPr>
                <w:b/>
              </w:rPr>
            </w:pPr>
            <w:r>
              <w:rPr>
                <w:b/>
              </w:rPr>
              <w:t>Dr. N. Skaria</w:t>
            </w:r>
          </w:p>
          <w:p w14:paraId="33A66A58" w14:textId="77777777" w:rsidR="00F02521" w:rsidRDefault="00385D7B" w:rsidP="00E90989">
            <w:pPr>
              <w:spacing w:after="0" w:line="240" w:lineRule="auto"/>
              <w:rPr>
                <w:b/>
              </w:rPr>
            </w:pPr>
            <w:r>
              <w:rPr>
                <w:b/>
              </w:rPr>
              <w:t xml:space="preserve">Dr. </w:t>
            </w:r>
            <w:proofErr w:type="gramStart"/>
            <w:r w:rsidR="000D3788">
              <w:rPr>
                <w:b/>
              </w:rPr>
              <w:t>G.</w:t>
            </w:r>
            <w:r>
              <w:rPr>
                <w:b/>
              </w:rPr>
              <w:t>Rajarathinam</w:t>
            </w:r>
            <w:proofErr w:type="gramEnd"/>
          </w:p>
          <w:p w14:paraId="124A6F43" w14:textId="77777777" w:rsidR="001D6101" w:rsidRPr="0086076D" w:rsidRDefault="001D6101" w:rsidP="00E90989">
            <w:pPr>
              <w:spacing w:after="0" w:line="240" w:lineRule="auto"/>
              <w:rPr>
                <w:b/>
              </w:rPr>
            </w:pPr>
            <w:r>
              <w:rPr>
                <w:b/>
              </w:rPr>
              <w:t>Dr. S. Keegan</w:t>
            </w:r>
          </w:p>
        </w:tc>
      </w:tr>
    </w:tbl>
    <w:p w14:paraId="77398D0E" w14:textId="77777777" w:rsidR="00E90989" w:rsidRPr="00E90989" w:rsidRDefault="00E90989" w:rsidP="00E90989">
      <w:pPr>
        <w:spacing w:after="0"/>
        <w:rPr>
          <w:vanish/>
        </w:rPr>
      </w:pPr>
    </w:p>
    <w:tbl>
      <w:tblPr>
        <w:tblpPr w:leftFromText="180" w:rightFromText="180" w:vertAnchor="text" w:horzAnchor="page" w:tblpX="9418" w:tblpY="-355"/>
        <w:tblW w:w="0" w:type="auto"/>
        <w:tblLook w:val="04A0" w:firstRow="1" w:lastRow="0" w:firstColumn="1" w:lastColumn="0" w:noHBand="0" w:noVBand="1"/>
      </w:tblPr>
      <w:tblGrid>
        <w:gridCol w:w="2451"/>
      </w:tblGrid>
      <w:tr w:rsidR="002A70C1" w:rsidRPr="00E90989" w14:paraId="7970342E" w14:textId="77777777" w:rsidTr="00E90989">
        <w:trPr>
          <w:trHeight w:val="911"/>
        </w:trPr>
        <w:tc>
          <w:tcPr>
            <w:tcW w:w="1916" w:type="dxa"/>
            <w:shd w:val="clear" w:color="auto" w:fill="auto"/>
          </w:tcPr>
          <w:p w14:paraId="75E55163" w14:textId="04D0219F" w:rsidR="002A70C1" w:rsidRPr="00E90989" w:rsidRDefault="006A5198" w:rsidP="00E90989">
            <w:pPr>
              <w:spacing w:after="0" w:line="240" w:lineRule="auto"/>
              <w:jc w:val="center"/>
            </w:pPr>
            <w:r w:rsidRPr="00DF5605">
              <w:rPr>
                <w:noProof/>
                <w:lang w:eastAsia="en-GB"/>
              </w:rPr>
              <w:drawing>
                <wp:inline distT="0" distB="0" distL="0" distR="0" wp14:anchorId="1B20BD84" wp14:editId="26D99905">
                  <wp:extent cx="1419225" cy="1095375"/>
                  <wp:effectExtent l="0" t="0" r="0" b="0"/>
                  <wp:docPr id="1" name="Picture 3" descr="Description: illustration of th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llustration of the surge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095375"/>
                          </a:xfrm>
                          <a:prstGeom prst="rect">
                            <a:avLst/>
                          </a:prstGeom>
                          <a:noFill/>
                          <a:ln>
                            <a:noFill/>
                          </a:ln>
                        </pic:spPr>
                      </pic:pic>
                    </a:graphicData>
                  </a:graphic>
                </wp:inline>
              </w:drawing>
            </w:r>
          </w:p>
        </w:tc>
      </w:tr>
    </w:tbl>
    <w:p w14:paraId="608EB43B" w14:textId="1BCA4F8F" w:rsidR="00C966E7" w:rsidRDefault="006A5198" w:rsidP="00C966E7">
      <w:pPr>
        <w:jc w:val="center"/>
        <w:rPr>
          <w:noProof/>
          <w:lang w:eastAsia="en-GB"/>
        </w:rPr>
      </w:pPr>
      <w:r>
        <w:rPr>
          <w:noProof/>
        </w:rPr>
        <mc:AlternateContent>
          <mc:Choice Requires="wps">
            <w:drawing>
              <wp:inline distT="0" distB="0" distL="0" distR="0" wp14:anchorId="0DD7BEA9" wp14:editId="7A741E45">
                <wp:extent cx="3145155" cy="369570"/>
                <wp:effectExtent l="0" t="0" r="0" b="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5155" cy="369570"/>
                        </a:xfrm>
                        <a:prstGeom prst="rect">
                          <a:avLst/>
                        </a:prstGeom>
                        <a:noFill/>
                        <a:ln>
                          <a:noFill/>
                        </a:ln>
                        <a:effectLst/>
                      </wps:spPr>
                      <wps:txbx>
                        <w:txbxContent>
                          <w:p w14:paraId="5819E542" w14:textId="77777777" w:rsidR="00437835" w:rsidRPr="00E90989" w:rsidRDefault="00437835" w:rsidP="002A70C1">
                            <w:pPr>
                              <w:spacing w:after="0" w:line="240" w:lineRule="auto"/>
                              <w:jc w:val="center"/>
                              <w:rPr>
                                <w:rFonts w:ascii="Verdana" w:hAnsi="Verdana"/>
                                <w:b/>
                                <w:i/>
                                <w:noProof/>
                                <w:sz w:val="36"/>
                                <w:szCs w:val="36"/>
                              </w:rPr>
                            </w:pPr>
                            <w:r w:rsidRPr="00E90989">
                              <w:rPr>
                                <w:rFonts w:ascii="Verdana" w:hAnsi="Verdana"/>
                                <w:b/>
                                <w:i/>
                                <w:noProof/>
                                <w:sz w:val="36"/>
                                <w:szCs w:val="36"/>
                              </w:rPr>
                              <w:t>FERN HOUSE SURGERY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0DD7BEA9" id="_x0000_t202" coordsize="21600,21600" o:spt="202" path="m,l,21600r21600,l21600,xe">
                <v:stroke joinstyle="miter"/>
                <v:path gradientshapeok="t" o:connecttype="rect"/>
              </v:shapetype>
              <v:shape id="Text Box 1" o:spid="_x0000_s1026" type="#_x0000_t202" style="width:247.65pt;height:29.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" filled="f" stroked="f">
                <v:textbox style="mso-fit-shape-to-text:t">
                  <w:txbxContent>
                    <w:p w14:paraId="5819E542" w14:textId="77777777" w:rsidR="00437835" w:rsidRPr="00E90989" w:rsidRDefault="00437835" w:rsidP="002A70C1">
                      <w:pPr>
                        <w:spacing w:after="0" w:line="240" w:lineRule="auto"/>
                        <w:jc w:val="center"/>
                        <w:rPr>
                          <w:rFonts w:ascii="Verdana" w:hAnsi="Verdana"/>
                          <w:b/>
                          <w:i/>
                          <w:noProof/>
                          <w:sz w:val="36"/>
                          <w:szCs w:val="36"/>
                        </w:rPr>
                      </w:pPr>
                      <w:r w:rsidRPr="00E90989">
                        <w:rPr>
                          <w:rFonts w:ascii="Verdana" w:hAnsi="Verdana"/>
                          <w:b/>
                          <w:i/>
                          <w:noProof/>
                          <w:sz w:val="36"/>
                          <w:szCs w:val="36"/>
                        </w:rPr>
                        <w:t>FERN HOUSE SURGERY</w:t>
                      </w:r>
                    </w:p>
                  </w:txbxContent>
                </v:textbox>
                <w10:anchorlock/>
              </v:shape>
            </w:pict>
          </mc:Fallback>
        </mc:AlternateContent>
      </w:r>
      <w:r w:rsidR="00F02521">
        <w:rPr>
          <w:rFonts w:ascii="Verdana" w:hAnsi="Verdana"/>
          <w:noProof/>
          <w:sz w:val="23"/>
          <w:szCs w:val="23"/>
          <w:lang w:eastAsia="en-GB"/>
        </w:rPr>
        <w:t xml:space="preserve"> </w:t>
      </w:r>
    </w:p>
    <w:tbl>
      <w:tblPr>
        <w:tblpPr w:leftFromText="180" w:rightFromText="180" w:vertAnchor="text" w:horzAnchor="margin" w:tblpXSpec="center" w:tblpY="829"/>
        <w:tblW w:w="0" w:type="auto"/>
        <w:tblLook w:val="04A0" w:firstRow="1" w:lastRow="0" w:firstColumn="1" w:lastColumn="0" w:noHBand="0" w:noVBand="1"/>
      </w:tblPr>
      <w:tblGrid>
        <w:gridCol w:w="4871"/>
      </w:tblGrid>
      <w:tr w:rsidR="00C966E7" w:rsidRPr="00E90989" w14:paraId="0E8482D5" w14:textId="77777777" w:rsidTr="0086076D">
        <w:trPr>
          <w:trHeight w:val="1784"/>
        </w:trPr>
        <w:tc>
          <w:tcPr>
            <w:tcW w:w="4871" w:type="dxa"/>
            <w:shd w:val="clear" w:color="auto" w:fill="auto"/>
          </w:tcPr>
          <w:p w14:paraId="5DA52E72" w14:textId="77777777" w:rsidR="002A70C1" w:rsidRPr="00E90989" w:rsidRDefault="002A70C1" w:rsidP="00E90989">
            <w:pPr>
              <w:spacing w:after="0" w:line="240" w:lineRule="auto"/>
              <w:jc w:val="center"/>
              <w:rPr>
                <w:b/>
                <w:noProof/>
                <w:lang w:eastAsia="en-GB"/>
              </w:rPr>
            </w:pPr>
          </w:p>
          <w:p w14:paraId="24F3C4A6" w14:textId="77777777" w:rsidR="003951F8" w:rsidRDefault="003951F8" w:rsidP="003951F8">
            <w:pPr>
              <w:pStyle w:val="Header"/>
              <w:jc w:val="center"/>
              <w:rPr>
                <w:b/>
                <w:noProof/>
                <w:sz w:val="36"/>
                <w:szCs w:val="36"/>
                <w:lang w:eastAsia="en-GB"/>
              </w:rPr>
            </w:pPr>
            <w:r>
              <w:rPr>
                <w:b/>
                <w:noProof/>
                <w:sz w:val="36"/>
                <w:szCs w:val="36"/>
                <w:lang w:eastAsia="en-GB"/>
              </w:rPr>
              <w:t xml:space="preserve">Privacy </w:t>
            </w:r>
            <w:r w:rsidRPr="00CA7472">
              <w:rPr>
                <w:b/>
                <w:noProof/>
                <w:sz w:val="36"/>
                <w:szCs w:val="36"/>
                <w:lang w:eastAsia="en-GB"/>
              </w:rPr>
              <w:t>Notice</w:t>
            </w:r>
          </w:p>
          <w:p w14:paraId="36CBEA19" w14:textId="77777777" w:rsidR="003951F8" w:rsidRDefault="00D116A9" w:rsidP="003951F8">
            <w:pPr>
              <w:pStyle w:val="Header"/>
              <w:jc w:val="center"/>
              <w:rPr>
                <w:b/>
                <w:noProof/>
                <w:sz w:val="36"/>
                <w:szCs w:val="36"/>
                <w:lang w:eastAsia="en-GB"/>
              </w:rPr>
            </w:pPr>
            <w:r>
              <w:rPr>
                <w:b/>
                <w:noProof/>
                <w:sz w:val="36"/>
                <w:szCs w:val="36"/>
                <w:lang w:eastAsia="en-GB"/>
              </w:rPr>
              <w:t>Safeguarding</w:t>
            </w:r>
          </w:p>
          <w:p w14:paraId="47E09A19" w14:textId="77777777" w:rsidR="002A70C1" w:rsidRPr="00E90989" w:rsidRDefault="002A70C1" w:rsidP="00E90989">
            <w:pPr>
              <w:spacing w:after="0" w:line="240" w:lineRule="auto"/>
              <w:jc w:val="center"/>
            </w:pPr>
          </w:p>
        </w:tc>
      </w:tr>
    </w:tbl>
    <w:p w14:paraId="0C9BDF60" w14:textId="77777777" w:rsidR="00C966E7" w:rsidRPr="00C966E7" w:rsidRDefault="00C966E7" w:rsidP="00C966E7">
      <w:pPr>
        <w:spacing w:after="0" w:line="240" w:lineRule="auto"/>
        <w:jc w:val="center"/>
        <w:rPr>
          <w:b/>
          <w:noProof/>
          <w:lang w:eastAsia="en-GB"/>
        </w:rPr>
      </w:pPr>
    </w:p>
    <w:p w14:paraId="52D52FFA" w14:textId="77777777" w:rsidR="008A2167" w:rsidRDefault="008A2167" w:rsidP="00C966E7">
      <w:pPr>
        <w:jc w:val="right"/>
      </w:pPr>
    </w:p>
    <w:p w14:paraId="579E7C4F" w14:textId="77777777" w:rsidR="00C966E7" w:rsidRDefault="00C966E7" w:rsidP="00C966E7">
      <w:pPr>
        <w:jc w:val="right"/>
        <w:rPr>
          <w:noProof/>
          <w:lang w:eastAsia="en-GB"/>
        </w:rPr>
      </w:pPr>
      <w:r>
        <w:rPr>
          <w:noProof/>
          <w:lang w:eastAsia="en-GB"/>
        </w:rPr>
        <w:t xml:space="preserve"> </w:t>
      </w:r>
    </w:p>
    <w:p w14:paraId="7613D184" w14:textId="77777777" w:rsidR="002A70C1" w:rsidRDefault="002A70C1" w:rsidP="00C966E7">
      <w:pPr>
        <w:jc w:val="right"/>
      </w:pPr>
    </w:p>
    <w:p w14:paraId="7159A797" w14:textId="77777777" w:rsidR="002A70C1" w:rsidRDefault="002A70C1" w:rsidP="002A70C1">
      <w:pPr>
        <w:jc w:val="center"/>
      </w:pPr>
    </w:p>
    <w:p w14:paraId="177F48C4" w14:textId="77777777" w:rsidR="00B42ABA" w:rsidRDefault="00B42ABA" w:rsidP="00775A90">
      <w:pPr>
        <w:spacing w:after="0"/>
      </w:pPr>
    </w:p>
    <w:p w14:paraId="091732E4" w14:textId="77777777" w:rsidR="0086076D" w:rsidRDefault="0086076D" w:rsidP="00775A90">
      <w:pPr>
        <w:spacing w:after="0"/>
      </w:pPr>
    </w:p>
    <w:p w14:paraId="5A080455" w14:textId="77777777" w:rsidR="0086076D" w:rsidRDefault="0086076D" w:rsidP="00775A90">
      <w:pPr>
        <w:spacing w:after="0"/>
      </w:pPr>
    </w:p>
    <w:p w14:paraId="009B10DE" w14:textId="77777777" w:rsidR="00463E17" w:rsidRDefault="0086076D" w:rsidP="00775A90">
      <w:pPr>
        <w:spacing w:after="0"/>
      </w:pPr>
      <w:r>
        <w:t>_______________________________________________________________________________________</w:t>
      </w:r>
    </w:p>
    <w:p w14:paraId="57E2BBE9" w14:textId="77777777" w:rsidR="006574D4" w:rsidRDefault="006574D4" w:rsidP="00CE6ACB">
      <w:pPr>
        <w:pStyle w:val="NormalWeb"/>
        <w:spacing w:before="0" w:beforeAutospacing="0" w:after="0" w:afterAutospacing="0"/>
        <w:ind w:left="195" w:hanging="195"/>
        <w:rPr>
          <w:rStyle w:val="Hyperlink"/>
          <w:rFonts w:ascii="Calibri" w:hAnsi="Calibri" w:cs="Calibri"/>
          <w:b/>
          <w:color w:val="auto"/>
          <w:sz w:val="28"/>
          <w:szCs w:val="28"/>
        </w:rPr>
      </w:pPr>
    </w:p>
    <w:p w14:paraId="304FBA61" w14:textId="77777777" w:rsidR="00CE6ACB" w:rsidRDefault="00D116A9" w:rsidP="00CE6ACB">
      <w:pPr>
        <w:pStyle w:val="NormalWeb"/>
        <w:spacing w:before="0" w:beforeAutospacing="0" w:after="0" w:afterAutospacing="0"/>
        <w:ind w:left="195" w:hanging="195"/>
        <w:rPr>
          <w:rStyle w:val="Hyperlink"/>
          <w:rFonts w:ascii="Calibri" w:hAnsi="Calibri" w:cs="Calibri"/>
          <w:b/>
          <w:color w:val="auto"/>
          <w:sz w:val="28"/>
          <w:szCs w:val="28"/>
        </w:rPr>
      </w:pPr>
      <w:r>
        <w:rPr>
          <w:rStyle w:val="Hyperlink"/>
          <w:rFonts w:ascii="Calibri" w:hAnsi="Calibri" w:cs="Calibri"/>
          <w:b/>
          <w:color w:val="auto"/>
          <w:sz w:val="28"/>
          <w:szCs w:val="28"/>
        </w:rPr>
        <w:t>Safeguarding</w:t>
      </w:r>
    </w:p>
    <w:p w14:paraId="7DADED48" w14:textId="77777777" w:rsidR="000C7F7B" w:rsidRPr="005D6553" w:rsidRDefault="000C7F7B" w:rsidP="000C7F7B">
      <w:pPr>
        <w:spacing w:before="100" w:beforeAutospacing="1" w:after="100" w:afterAutospacing="1" w:line="240" w:lineRule="auto"/>
        <w:jc w:val="both"/>
        <w:rPr>
          <w:rFonts w:eastAsia="Times New Roman"/>
          <w:sz w:val="24"/>
          <w:szCs w:val="24"/>
          <w:lang w:val="en-US" w:eastAsia="en-GB"/>
        </w:rPr>
      </w:pPr>
      <w:r w:rsidRPr="005D6553">
        <w:rPr>
          <w:rFonts w:eastAsia="Times New Roman"/>
          <w:sz w:val="24"/>
          <w:szCs w:val="24"/>
          <w:lang w:val="en-US" w:eastAsia="en-GB"/>
        </w:rPr>
        <w:t xml:space="preserve">Safeguarding adults at risk of abuse or neglect is a collective responsibility. Whilst individuals and </w:t>
      </w:r>
      <w:proofErr w:type="spellStart"/>
      <w:r w:rsidRPr="005D6553">
        <w:rPr>
          <w:rFonts w:eastAsia="Times New Roman"/>
          <w:sz w:val="24"/>
          <w:szCs w:val="24"/>
          <w:lang w:val="en-US" w:eastAsia="en-GB"/>
        </w:rPr>
        <w:t>organisations</w:t>
      </w:r>
      <w:proofErr w:type="spellEnd"/>
      <w:r w:rsidRPr="005D6553">
        <w:rPr>
          <w:rFonts w:eastAsia="Times New Roman"/>
          <w:sz w:val="24"/>
          <w:szCs w:val="24"/>
          <w:lang w:val="en-US" w:eastAsia="en-GB"/>
        </w:rPr>
        <w:t xml:space="preserve"> have distinct roles, the system cannot operate effectively unless the different individuals and </w:t>
      </w:r>
      <w:proofErr w:type="spellStart"/>
      <w:r w:rsidRPr="005D6553">
        <w:rPr>
          <w:rFonts w:eastAsia="Times New Roman"/>
          <w:sz w:val="24"/>
          <w:szCs w:val="24"/>
          <w:lang w:val="en-US" w:eastAsia="en-GB"/>
        </w:rPr>
        <w:t>organisations</w:t>
      </w:r>
      <w:proofErr w:type="spellEnd"/>
      <w:r w:rsidRPr="005D6553">
        <w:rPr>
          <w:rFonts w:eastAsia="Times New Roman"/>
          <w:sz w:val="24"/>
          <w:szCs w:val="24"/>
          <w:lang w:val="en-US" w:eastAsia="en-GB"/>
        </w:rPr>
        <w:t xml:space="preserve"> work together.</w:t>
      </w:r>
    </w:p>
    <w:p w14:paraId="1474DF64" w14:textId="77777777" w:rsidR="000C7F7B" w:rsidRPr="005D6553" w:rsidRDefault="000C7F7B" w:rsidP="000C7F7B">
      <w:pPr>
        <w:spacing w:before="100" w:beforeAutospacing="1" w:after="100" w:afterAutospacing="1" w:line="240" w:lineRule="auto"/>
        <w:jc w:val="both"/>
        <w:rPr>
          <w:rFonts w:eastAsia="Times New Roman"/>
          <w:sz w:val="24"/>
          <w:szCs w:val="24"/>
          <w:lang w:val="en-US" w:eastAsia="en-GB"/>
        </w:rPr>
      </w:pPr>
      <w:r w:rsidRPr="005D6553">
        <w:rPr>
          <w:rFonts w:eastAsia="Times New Roman"/>
          <w:sz w:val="24"/>
          <w:szCs w:val="24"/>
          <w:lang w:val="en-US" w:eastAsia="en-GB"/>
        </w:rPr>
        <w:t>“The hand of safeguarding helps all children and adults who are at risk of harm or abuse. It touches the lives of children when it protects them from harm and neglect from wherever that comes; and it helps to provide them with all the chances needed to achieve the best a life can bring.</w:t>
      </w:r>
    </w:p>
    <w:p w14:paraId="62AAB919" w14:textId="77777777" w:rsidR="000C7F7B" w:rsidRPr="005D6553" w:rsidRDefault="000C7F7B" w:rsidP="000C7F7B">
      <w:pPr>
        <w:spacing w:before="100" w:beforeAutospacing="1" w:after="100" w:afterAutospacing="1" w:line="240" w:lineRule="auto"/>
        <w:jc w:val="both"/>
        <w:rPr>
          <w:rFonts w:eastAsia="Times New Roman"/>
          <w:sz w:val="24"/>
          <w:szCs w:val="24"/>
          <w:lang w:val="en-US" w:eastAsia="en-GB"/>
        </w:rPr>
      </w:pPr>
      <w:r w:rsidRPr="005D6553">
        <w:rPr>
          <w:rFonts w:eastAsia="Times New Roman"/>
          <w:sz w:val="24"/>
          <w:szCs w:val="24"/>
          <w:lang w:val="en-US" w:eastAsia="en-GB"/>
        </w:rPr>
        <w:t xml:space="preserve">To vulnerable adults it brings kindness, respect, </w:t>
      </w:r>
      <w:proofErr w:type="gramStart"/>
      <w:r w:rsidRPr="005D6553">
        <w:rPr>
          <w:rFonts w:eastAsia="Times New Roman"/>
          <w:sz w:val="24"/>
          <w:szCs w:val="24"/>
          <w:lang w:val="en-US" w:eastAsia="en-GB"/>
        </w:rPr>
        <w:t>dignity</w:t>
      </w:r>
      <w:proofErr w:type="gramEnd"/>
      <w:r w:rsidRPr="005D6553">
        <w:rPr>
          <w:rFonts w:eastAsia="Times New Roman"/>
          <w:sz w:val="24"/>
          <w:szCs w:val="24"/>
          <w:lang w:val="en-US" w:eastAsia="en-GB"/>
        </w:rPr>
        <w:t xml:space="preserve"> and support however short the hand that life has dealt them, and it protects them from harm and misuse from all and any quarter.</w:t>
      </w:r>
    </w:p>
    <w:p w14:paraId="4A8BCFA5" w14:textId="77777777" w:rsidR="000C7F7B" w:rsidRPr="000C7F7B" w:rsidRDefault="000C7F7B" w:rsidP="000C7F7B">
      <w:pPr>
        <w:pStyle w:val="NormalWeb"/>
        <w:numPr>
          <w:ilvl w:val="0"/>
          <w:numId w:val="19"/>
        </w:numPr>
        <w:spacing w:before="0" w:beforeAutospacing="0" w:after="0" w:afterAutospacing="0"/>
        <w:rPr>
          <w:rFonts w:ascii="Calibri" w:hAnsi="Calibri" w:cs="Calibri"/>
        </w:rPr>
      </w:pPr>
      <w:r w:rsidRPr="000C7F7B">
        <w:rPr>
          <w:rFonts w:ascii="Calibri" w:hAnsi="Calibri" w:cs="Calibri"/>
        </w:rPr>
        <w:t xml:space="preserve">Sometimes we need to share information so that other people, including healthcare staff, </w:t>
      </w:r>
      <w:proofErr w:type="gramStart"/>
      <w:r w:rsidRPr="000C7F7B">
        <w:rPr>
          <w:rFonts w:ascii="Calibri" w:hAnsi="Calibri" w:cs="Calibri"/>
        </w:rPr>
        <w:t>children</w:t>
      </w:r>
      <w:proofErr w:type="gramEnd"/>
      <w:r w:rsidRPr="000C7F7B">
        <w:rPr>
          <w:rFonts w:ascii="Calibri" w:hAnsi="Calibri" w:cs="Calibri"/>
        </w:rPr>
        <w:t xml:space="preserve"> or others with safeguarding needs, are protected from risk of harm. </w:t>
      </w:r>
    </w:p>
    <w:p w14:paraId="70A9C56E" w14:textId="77777777" w:rsidR="000C7F7B" w:rsidRPr="000C7F7B" w:rsidRDefault="000C7F7B" w:rsidP="000C7F7B">
      <w:pPr>
        <w:pStyle w:val="NormalWeb"/>
        <w:spacing w:before="0" w:beforeAutospacing="0" w:after="0" w:afterAutospacing="0"/>
        <w:ind w:left="720"/>
        <w:rPr>
          <w:rFonts w:ascii="Calibri" w:hAnsi="Calibri" w:cs="Calibri"/>
        </w:rPr>
      </w:pPr>
    </w:p>
    <w:p w14:paraId="3C07FAA8" w14:textId="77777777" w:rsidR="000C7F7B" w:rsidRPr="000C7F7B" w:rsidRDefault="000C7F7B" w:rsidP="000C7F7B">
      <w:pPr>
        <w:pStyle w:val="NormalWeb"/>
        <w:numPr>
          <w:ilvl w:val="0"/>
          <w:numId w:val="19"/>
        </w:numPr>
        <w:spacing w:before="0" w:beforeAutospacing="0" w:after="0" w:afterAutospacing="0"/>
        <w:rPr>
          <w:rFonts w:ascii="Calibri" w:hAnsi="Calibri" w:cs="Calibri"/>
        </w:rPr>
      </w:pPr>
      <w:r w:rsidRPr="000C7F7B">
        <w:rPr>
          <w:rFonts w:ascii="Calibri" w:hAnsi="Calibri" w:cs="Calibri"/>
        </w:rPr>
        <w:t xml:space="preserve">These circumstances are rare. </w:t>
      </w:r>
    </w:p>
    <w:p w14:paraId="1927D5E0" w14:textId="77777777" w:rsidR="000C7F7B" w:rsidRPr="000C7F7B" w:rsidRDefault="000C7F7B" w:rsidP="000C7F7B">
      <w:pPr>
        <w:pStyle w:val="NormalWeb"/>
        <w:spacing w:before="0" w:beforeAutospacing="0" w:after="0" w:afterAutospacing="0"/>
        <w:rPr>
          <w:rFonts w:ascii="Calibri" w:hAnsi="Calibri" w:cs="Calibri"/>
        </w:rPr>
      </w:pPr>
    </w:p>
    <w:p w14:paraId="2844B9DC" w14:textId="77777777" w:rsidR="000C7F7B" w:rsidRDefault="000C7F7B" w:rsidP="000C7F7B">
      <w:pPr>
        <w:pStyle w:val="NormalWeb"/>
        <w:numPr>
          <w:ilvl w:val="0"/>
          <w:numId w:val="19"/>
        </w:numPr>
        <w:spacing w:before="0" w:beforeAutospacing="0" w:after="0" w:afterAutospacing="0"/>
        <w:rPr>
          <w:rFonts w:ascii="Calibri" w:hAnsi="Calibri" w:cs="Calibri"/>
        </w:rPr>
      </w:pPr>
      <w:r w:rsidRPr="000C7F7B">
        <w:rPr>
          <w:rFonts w:ascii="Calibri" w:hAnsi="Calibri" w:cs="Calibri"/>
        </w:rPr>
        <w:t xml:space="preserve">We do not need your consent or agreement to do this. </w:t>
      </w:r>
    </w:p>
    <w:p w14:paraId="6F9AEB56" w14:textId="77777777" w:rsidR="000C7F7B" w:rsidRDefault="000C7F7B" w:rsidP="000C7F7B">
      <w:pPr>
        <w:pStyle w:val="ListParagraph"/>
        <w:rPr>
          <w:rFonts w:ascii="Calibri" w:hAnsi="Calibri" w:cs="Calibri"/>
        </w:rPr>
      </w:pPr>
    </w:p>
    <w:p w14:paraId="254327D9" w14:textId="77777777" w:rsidR="000C7F7B" w:rsidRDefault="000C7F7B" w:rsidP="000C7F7B">
      <w:pPr>
        <w:pStyle w:val="NormalWeb"/>
        <w:spacing w:before="0" w:beforeAutospacing="0" w:after="0" w:afterAutospacing="0"/>
        <w:rPr>
          <w:rFonts w:ascii="Calibri" w:hAnsi="Calibri" w:cs="Calibri"/>
        </w:rPr>
      </w:pPr>
    </w:p>
    <w:p w14:paraId="1C5C6F00" w14:textId="77777777" w:rsidR="000C7F7B" w:rsidRDefault="000C7F7B" w:rsidP="000C7F7B">
      <w:pPr>
        <w:pStyle w:val="NormalWeb"/>
        <w:spacing w:before="0" w:beforeAutospacing="0" w:after="0" w:afterAutospacing="0"/>
        <w:rPr>
          <w:rFonts w:ascii="Calibri" w:hAnsi="Calibri" w:cs="Calibri"/>
        </w:rPr>
      </w:pPr>
      <w:r>
        <w:rPr>
          <w:rFonts w:ascii="Calibri" w:hAnsi="Calibri" w:cs="Calibri"/>
        </w:rPr>
        <w:t xml:space="preserve">For further information please visit </w:t>
      </w:r>
      <w:hyperlink r:id="rId9" w:history="1">
        <w:r w:rsidRPr="00CC028C">
          <w:rPr>
            <w:rStyle w:val="Hyperlink"/>
            <w:rFonts w:ascii="Calibri" w:hAnsi="Calibri" w:cs="Calibri"/>
          </w:rPr>
          <w:t>https://midessexccg.</w:t>
        </w:r>
        <w:r w:rsidRPr="00CC028C">
          <w:rPr>
            <w:rStyle w:val="Hyperlink"/>
            <w:rFonts w:ascii="Calibri" w:hAnsi="Calibri" w:cs="Calibri"/>
          </w:rPr>
          <w:t>n</w:t>
        </w:r>
        <w:r w:rsidRPr="00CC028C">
          <w:rPr>
            <w:rStyle w:val="Hyperlink"/>
            <w:rFonts w:ascii="Calibri" w:hAnsi="Calibri" w:cs="Calibri"/>
          </w:rPr>
          <w:t>hs.uk/about-us/safeguarding</w:t>
        </w:r>
      </w:hyperlink>
    </w:p>
    <w:p w14:paraId="211B0B33" w14:textId="77777777" w:rsidR="000C7F7B" w:rsidRPr="000C7F7B" w:rsidRDefault="000C7F7B" w:rsidP="000C7F7B">
      <w:pPr>
        <w:pStyle w:val="NormalWeb"/>
        <w:spacing w:before="0" w:beforeAutospacing="0" w:after="0" w:afterAutospacing="0"/>
        <w:rPr>
          <w:rFonts w:ascii="Calibri" w:hAnsi="Calibri" w:cs="Calibri"/>
        </w:rPr>
      </w:pPr>
    </w:p>
    <w:p w14:paraId="25895FD9" w14:textId="77777777" w:rsidR="000C7F7B" w:rsidRPr="000C7F7B" w:rsidRDefault="000C7F7B" w:rsidP="000C7F7B">
      <w:pPr>
        <w:pStyle w:val="NormalWeb"/>
        <w:spacing w:before="0" w:beforeAutospacing="0" w:after="0" w:afterAutospacing="0"/>
        <w:rPr>
          <w:rFonts w:ascii="Calibri" w:hAnsi="Calibri" w:cs="Calibri"/>
        </w:rPr>
      </w:pPr>
    </w:p>
    <w:p w14:paraId="222EC3C7" w14:textId="77777777" w:rsidR="003E7623" w:rsidRPr="00ED3BBA" w:rsidRDefault="006574D4" w:rsidP="008B28A6">
      <w:pPr>
        <w:rPr>
          <w:rFonts w:cs="Arial"/>
          <w:b/>
          <w:bCs/>
          <w:sz w:val="24"/>
          <w:szCs w:val="24"/>
          <w:u w:val="single"/>
          <w:lang w:eastAsia="en-GB"/>
        </w:rPr>
      </w:pPr>
      <w:r>
        <w:rPr>
          <w:rFonts w:cs="Arial"/>
          <w:b/>
          <w:bCs/>
          <w:sz w:val="24"/>
          <w:szCs w:val="24"/>
          <w:lang w:eastAsia="en-GB"/>
        </w:rPr>
        <w:br w:type="page"/>
      </w:r>
    </w:p>
    <w:p w14:paraId="771968C1" w14:textId="77777777" w:rsidR="00B95398" w:rsidRPr="000A1085" w:rsidRDefault="00B95398" w:rsidP="00B95398">
      <w:pPr>
        <w:rPr>
          <w:rFonts w:cs="Calibri"/>
          <w:sz w:val="24"/>
          <w:szCs w:val="24"/>
        </w:rPr>
      </w:pPr>
      <w:r w:rsidRPr="000A1085">
        <w:rPr>
          <w:rFonts w:cs="Calibri"/>
          <w:sz w:val="24"/>
          <w:szCs w:val="24"/>
        </w:rPr>
        <w:lastRenderedPageBreak/>
        <w:t>We are required by law to provide you with the following information about how we handle your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11"/>
      </w:tblGrid>
      <w:tr w:rsidR="00B95398" w:rsidRPr="000A1085" w14:paraId="3C3CD3A2" w14:textId="77777777" w:rsidTr="000A1085">
        <w:tc>
          <w:tcPr>
            <w:tcW w:w="2405" w:type="dxa"/>
            <w:shd w:val="clear" w:color="auto" w:fill="auto"/>
          </w:tcPr>
          <w:p w14:paraId="24D4AE8C" w14:textId="77777777" w:rsidR="00B95398" w:rsidRPr="000A1085" w:rsidRDefault="00B95398" w:rsidP="000A1085">
            <w:pPr>
              <w:rPr>
                <w:rFonts w:cs="Calibri"/>
                <w:b/>
                <w:color w:val="000000"/>
                <w:sz w:val="24"/>
                <w:szCs w:val="24"/>
                <w:lang w:eastAsia="en-GB"/>
              </w:rPr>
            </w:pPr>
            <w:r w:rsidRPr="000A1085">
              <w:rPr>
                <w:rFonts w:cs="Calibri"/>
                <w:b/>
                <w:color w:val="000000"/>
                <w:sz w:val="24"/>
                <w:szCs w:val="24"/>
                <w:lang w:eastAsia="en-GB"/>
              </w:rPr>
              <w:t xml:space="preserve">Data Controller </w:t>
            </w:r>
            <w:r w:rsidRPr="000A1085">
              <w:rPr>
                <w:rFonts w:cs="Calibri"/>
                <w:color w:val="000000"/>
                <w:sz w:val="24"/>
                <w:szCs w:val="24"/>
                <w:lang w:eastAsia="en-GB"/>
              </w:rPr>
              <w:t>contact details</w:t>
            </w:r>
          </w:p>
        </w:tc>
        <w:tc>
          <w:tcPr>
            <w:tcW w:w="6611" w:type="dxa"/>
            <w:shd w:val="clear" w:color="auto" w:fill="auto"/>
          </w:tcPr>
          <w:p w14:paraId="0E390335" w14:textId="77777777" w:rsidR="00B95398" w:rsidRPr="000A1085" w:rsidRDefault="00B95398" w:rsidP="000A1085">
            <w:pPr>
              <w:rPr>
                <w:rFonts w:cs="Calibri"/>
                <w:sz w:val="24"/>
                <w:szCs w:val="24"/>
                <w:lang w:eastAsia="en-GB"/>
              </w:rPr>
            </w:pPr>
            <w:r w:rsidRPr="000A1085">
              <w:rPr>
                <w:rFonts w:cs="Calibri"/>
                <w:sz w:val="24"/>
                <w:szCs w:val="24"/>
                <w:lang w:eastAsia="en-GB"/>
              </w:rPr>
              <w:t>Fern House Surgery, 125 – 129 Newland</w:t>
            </w:r>
            <w:r w:rsidR="00E332D7">
              <w:rPr>
                <w:rFonts w:cs="Calibri"/>
                <w:sz w:val="24"/>
                <w:szCs w:val="24"/>
                <w:lang w:eastAsia="en-GB"/>
              </w:rPr>
              <w:t xml:space="preserve"> Street, Witham, Essex CM8 1BH </w:t>
            </w:r>
          </w:p>
        </w:tc>
      </w:tr>
      <w:tr w:rsidR="00B95398" w:rsidRPr="000A1085" w14:paraId="113FEEF0" w14:textId="77777777" w:rsidTr="000A1085">
        <w:tc>
          <w:tcPr>
            <w:tcW w:w="2405" w:type="dxa"/>
            <w:shd w:val="clear" w:color="auto" w:fill="auto"/>
          </w:tcPr>
          <w:p w14:paraId="048FBD5B" w14:textId="77777777" w:rsidR="00B95398" w:rsidRPr="00E332D7" w:rsidRDefault="00B95398" w:rsidP="000A1085">
            <w:pPr>
              <w:rPr>
                <w:rFonts w:cs="Calibri"/>
                <w:color w:val="000000"/>
                <w:sz w:val="24"/>
                <w:szCs w:val="24"/>
                <w:lang w:eastAsia="en-GB"/>
              </w:rPr>
            </w:pPr>
            <w:r w:rsidRPr="000A1085">
              <w:rPr>
                <w:rFonts w:cs="Calibri"/>
                <w:b/>
                <w:color w:val="000000"/>
                <w:sz w:val="24"/>
                <w:szCs w:val="24"/>
                <w:lang w:eastAsia="en-GB"/>
              </w:rPr>
              <w:t xml:space="preserve">Data Protection Officer </w:t>
            </w:r>
            <w:r w:rsidR="00E332D7">
              <w:rPr>
                <w:rFonts w:cs="Calibri"/>
                <w:color w:val="000000"/>
                <w:sz w:val="24"/>
                <w:szCs w:val="24"/>
                <w:lang w:eastAsia="en-GB"/>
              </w:rPr>
              <w:t>contact details</w:t>
            </w:r>
          </w:p>
        </w:tc>
        <w:tc>
          <w:tcPr>
            <w:tcW w:w="6611" w:type="dxa"/>
            <w:shd w:val="clear" w:color="auto" w:fill="auto"/>
          </w:tcPr>
          <w:p w14:paraId="195FF4D3" w14:textId="77777777" w:rsidR="00B95398" w:rsidRPr="000A1085" w:rsidRDefault="00B95398" w:rsidP="000A1085">
            <w:pPr>
              <w:rPr>
                <w:rFonts w:cs="Calibri"/>
                <w:sz w:val="24"/>
                <w:szCs w:val="24"/>
                <w:lang w:eastAsia="en-GB"/>
              </w:rPr>
            </w:pPr>
            <w:r w:rsidRPr="000A1085">
              <w:rPr>
                <w:rFonts w:cs="Calibri"/>
                <w:sz w:val="24"/>
                <w:szCs w:val="24"/>
                <w:lang w:eastAsia="en-GB"/>
              </w:rPr>
              <w:t>Information Governance Lead, Fern House Surgery, 125 – 129 Newland</w:t>
            </w:r>
            <w:r w:rsidR="00E332D7">
              <w:rPr>
                <w:rFonts w:cs="Calibri"/>
                <w:sz w:val="24"/>
                <w:szCs w:val="24"/>
                <w:lang w:eastAsia="en-GB"/>
              </w:rPr>
              <w:t xml:space="preserve"> Street, Witham, Essex CM8 1BH </w:t>
            </w:r>
          </w:p>
        </w:tc>
      </w:tr>
      <w:tr w:rsidR="00B95398" w:rsidRPr="000A1085" w14:paraId="514BBEC7" w14:textId="77777777" w:rsidTr="000A1085">
        <w:tc>
          <w:tcPr>
            <w:tcW w:w="2405" w:type="dxa"/>
            <w:shd w:val="clear" w:color="auto" w:fill="auto"/>
          </w:tcPr>
          <w:p w14:paraId="5CBE2E13" w14:textId="77777777" w:rsidR="00B95398" w:rsidRPr="000A1085" w:rsidRDefault="00B95398" w:rsidP="000A1085">
            <w:pPr>
              <w:rPr>
                <w:rFonts w:cs="Calibri"/>
                <w:sz w:val="24"/>
                <w:szCs w:val="24"/>
              </w:rPr>
            </w:pPr>
            <w:r w:rsidRPr="000A1085">
              <w:rPr>
                <w:rFonts w:cs="Calibri"/>
                <w:b/>
                <w:color w:val="000000"/>
                <w:sz w:val="24"/>
                <w:szCs w:val="24"/>
                <w:lang w:eastAsia="en-GB"/>
              </w:rPr>
              <w:t>Purpose</w:t>
            </w:r>
            <w:r w:rsidRPr="000A1085">
              <w:rPr>
                <w:rFonts w:cs="Calibri"/>
                <w:color w:val="000000"/>
                <w:sz w:val="24"/>
                <w:szCs w:val="24"/>
                <w:lang w:eastAsia="en-GB"/>
              </w:rPr>
              <w:t xml:space="preserve"> of the processing</w:t>
            </w:r>
          </w:p>
        </w:tc>
        <w:tc>
          <w:tcPr>
            <w:tcW w:w="6611" w:type="dxa"/>
            <w:shd w:val="clear" w:color="auto" w:fill="auto"/>
          </w:tcPr>
          <w:p w14:paraId="06FA7449" w14:textId="77777777" w:rsidR="00B95398" w:rsidRPr="005D6553" w:rsidRDefault="00AC608A" w:rsidP="00AC608A">
            <w:pPr>
              <w:pStyle w:val="ListParagraph"/>
              <w:ind w:left="0"/>
              <w:contextualSpacing/>
              <w:jc w:val="both"/>
              <w:rPr>
                <w:rFonts w:ascii="Calibri" w:hAnsi="Calibri" w:cs="Calibri"/>
              </w:rPr>
            </w:pPr>
            <w:r w:rsidRPr="005D6553">
              <w:rPr>
                <w:rStyle w:val="ilfuvd"/>
                <w:rFonts w:ascii="Calibri" w:hAnsi="Calibri" w:cs="Arial"/>
                <w:bCs/>
                <w:color w:val="222222"/>
              </w:rPr>
              <w:t>Safeguarding</w:t>
            </w:r>
            <w:r w:rsidRPr="005D6553">
              <w:rPr>
                <w:rStyle w:val="ilfuvd"/>
                <w:rFonts w:ascii="Calibri" w:hAnsi="Calibri" w:cs="Arial"/>
                <w:color w:val="222222"/>
              </w:rPr>
              <w:t xml:space="preserve"> is the action that is taken t</w:t>
            </w:r>
            <w:r w:rsidRPr="005D6553">
              <w:rPr>
                <w:rFonts w:ascii="Calibri" w:hAnsi="Calibri" w:cs="Calibri"/>
              </w:rPr>
              <w:t>o promote the welfare of children and vulnerable adults and protect them from harm.</w:t>
            </w:r>
          </w:p>
        </w:tc>
      </w:tr>
      <w:tr w:rsidR="00B95398" w:rsidRPr="000A1085" w14:paraId="33774AAA" w14:textId="77777777" w:rsidTr="000A1085">
        <w:trPr>
          <w:trHeight w:val="4552"/>
        </w:trPr>
        <w:tc>
          <w:tcPr>
            <w:tcW w:w="2405" w:type="dxa"/>
            <w:shd w:val="clear" w:color="auto" w:fill="auto"/>
          </w:tcPr>
          <w:p w14:paraId="61E2C337" w14:textId="77777777" w:rsidR="00B95398" w:rsidRPr="000A1085" w:rsidRDefault="00B95398" w:rsidP="000A1085">
            <w:pPr>
              <w:rPr>
                <w:rFonts w:cs="Calibri"/>
                <w:sz w:val="24"/>
                <w:szCs w:val="24"/>
              </w:rPr>
            </w:pPr>
            <w:r w:rsidRPr="000A1085">
              <w:rPr>
                <w:rFonts w:cs="Calibri"/>
                <w:b/>
                <w:color w:val="000000"/>
                <w:sz w:val="24"/>
                <w:szCs w:val="24"/>
                <w:lang w:eastAsia="en-GB"/>
              </w:rPr>
              <w:t>Lawful basis</w:t>
            </w:r>
            <w:r w:rsidRPr="000A1085">
              <w:rPr>
                <w:rFonts w:cs="Calibri"/>
                <w:color w:val="000000"/>
                <w:sz w:val="24"/>
                <w:szCs w:val="24"/>
                <w:lang w:eastAsia="en-GB"/>
              </w:rPr>
              <w:t xml:space="preserve"> for processing</w:t>
            </w:r>
          </w:p>
          <w:p w14:paraId="5367F689" w14:textId="77777777" w:rsidR="00B95398" w:rsidRPr="000A1085" w:rsidRDefault="00B95398" w:rsidP="000A1085">
            <w:pPr>
              <w:rPr>
                <w:rFonts w:cs="Calibri"/>
                <w:sz w:val="24"/>
                <w:szCs w:val="24"/>
              </w:rPr>
            </w:pPr>
          </w:p>
        </w:tc>
        <w:tc>
          <w:tcPr>
            <w:tcW w:w="6611" w:type="dxa"/>
            <w:shd w:val="clear" w:color="auto" w:fill="auto"/>
          </w:tcPr>
          <w:p w14:paraId="5669D2A4" w14:textId="77777777" w:rsidR="00B95398" w:rsidRPr="000A1085" w:rsidRDefault="00B95398" w:rsidP="000A1085">
            <w:pPr>
              <w:rPr>
                <w:rFonts w:cs="Calibri"/>
                <w:color w:val="000000"/>
                <w:sz w:val="24"/>
                <w:szCs w:val="24"/>
                <w:lang w:eastAsia="en-GB"/>
              </w:rPr>
            </w:pPr>
            <w:r w:rsidRPr="000A1085">
              <w:rPr>
                <w:rFonts w:cs="Calibri"/>
                <w:sz w:val="24"/>
                <w:szCs w:val="24"/>
              </w:rPr>
              <w:t xml:space="preserve">These purposes are </w:t>
            </w:r>
            <w:r w:rsidRPr="000A1085">
              <w:rPr>
                <w:rFonts w:cs="Calibri"/>
                <w:color w:val="000000"/>
                <w:sz w:val="24"/>
                <w:szCs w:val="24"/>
                <w:lang w:eastAsia="en-GB"/>
              </w:rPr>
              <w:t>supported under the following sections of the GDPR:</w:t>
            </w:r>
          </w:p>
          <w:p w14:paraId="34C2B47F" w14:textId="77777777" w:rsidR="008C797A" w:rsidRDefault="00B95398" w:rsidP="008C797A">
            <w:pPr>
              <w:ind w:left="720"/>
              <w:rPr>
                <w:rFonts w:ascii="Times New Roman" w:hAnsi="Times New Roman"/>
                <w:bCs/>
                <w:color w:val="000000"/>
                <w:sz w:val="24"/>
                <w:szCs w:val="24"/>
                <w:lang w:eastAsia="en-GB"/>
              </w:rPr>
            </w:pPr>
            <w:r w:rsidRPr="000A1085">
              <w:rPr>
                <w:rFonts w:cs="Calibri"/>
                <w:i/>
                <w:color w:val="000000"/>
                <w:sz w:val="24"/>
                <w:szCs w:val="24"/>
                <w:lang w:eastAsia="en-GB"/>
              </w:rPr>
              <w:t xml:space="preserve">Article </w:t>
            </w:r>
            <w:r w:rsidRPr="000A1085">
              <w:rPr>
                <w:rFonts w:cs="Calibri"/>
                <w:i/>
                <w:sz w:val="24"/>
                <w:szCs w:val="24"/>
              </w:rPr>
              <w:t xml:space="preserve">6(1)(e) ‘…necessary for the performance of a task carried out in the public interest or in the exercise of </w:t>
            </w:r>
          </w:p>
          <w:p w14:paraId="2C933A97" w14:textId="77777777" w:rsidR="008C797A" w:rsidRPr="005D6553" w:rsidRDefault="008C797A" w:rsidP="008C797A">
            <w:pPr>
              <w:autoSpaceDE w:val="0"/>
              <w:autoSpaceDN w:val="0"/>
              <w:adjustRightInd w:val="0"/>
              <w:spacing w:after="240" w:line="360" w:lineRule="atLeast"/>
              <w:rPr>
                <w:color w:val="000000"/>
                <w:sz w:val="24"/>
                <w:szCs w:val="24"/>
                <w:lang w:eastAsia="en-GB"/>
              </w:rPr>
            </w:pPr>
            <w:r w:rsidRPr="005D6553">
              <w:rPr>
                <w:color w:val="000000"/>
                <w:sz w:val="24"/>
                <w:szCs w:val="24"/>
                <w:lang w:eastAsia="en-GB"/>
              </w:rPr>
              <w:t xml:space="preserve">and: </w:t>
            </w:r>
          </w:p>
          <w:p w14:paraId="273B6D27" w14:textId="77777777" w:rsidR="008C797A" w:rsidRPr="005D6553" w:rsidRDefault="00971B61" w:rsidP="00971B61">
            <w:pPr>
              <w:ind w:left="714"/>
              <w:rPr>
                <w:bCs/>
                <w:i/>
                <w:color w:val="000000"/>
                <w:sz w:val="24"/>
                <w:szCs w:val="24"/>
                <w:lang w:eastAsia="en-GB"/>
              </w:rPr>
            </w:pPr>
            <w:r w:rsidRPr="005D6553">
              <w:rPr>
                <w:bCs/>
                <w:i/>
                <w:color w:val="000000"/>
                <w:sz w:val="24"/>
                <w:szCs w:val="24"/>
                <w:lang w:eastAsia="en-GB"/>
              </w:rPr>
              <w:t xml:space="preserve">Article </w:t>
            </w:r>
            <w:r w:rsidR="008C797A" w:rsidRPr="005D6553">
              <w:rPr>
                <w:bCs/>
                <w:i/>
                <w:color w:val="000000"/>
                <w:sz w:val="24"/>
                <w:szCs w:val="24"/>
                <w:lang w:eastAsia="en-GB"/>
              </w:rPr>
              <w:t xml:space="preserve">9(2)(b) ‘...is necessary for the purposes of carrying out the obligations and exercising the specific rights of the controller or of the data subject in the field of ...social protection law in so far as it is authorised by Union or Member State </w:t>
            </w:r>
            <w:proofErr w:type="gramStart"/>
            <w:r w:rsidR="008C797A" w:rsidRPr="005D6553">
              <w:rPr>
                <w:bCs/>
                <w:i/>
                <w:color w:val="000000"/>
                <w:sz w:val="24"/>
                <w:szCs w:val="24"/>
                <w:lang w:eastAsia="en-GB"/>
              </w:rPr>
              <w:t>law..</w:t>
            </w:r>
            <w:proofErr w:type="gramEnd"/>
            <w:r w:rsidR="008C797A" w:rsidRPr="005D6553">
              <w:rPr>
                <w:bCs/>
                <w:i/>
                <w:color w:val="000000"/>
                <w:sz w:val="24"/>
                <w:szCs w:val="24"/>
                <w:lang w:eastAsia="en-GB"/>
              </w:rPr>
              <w:t xml:space="preserve">’ </w:t>
            </w:r>
          </w:p>
          <w:p w14:paraId="2DD730C9" w14:textId="77777777" w:rsidR="00B95398" w:rsidRPr="000A1085" w:rsidRDefault="00B95398" w:rsidP="000A1085">
            <w:pPr>
              <w:rPr>
                <w:rFonts w:cs="Calibri"/>
                <w:sz w:val="24"/>
                <w:szCs w:val="24"/>
              </w:rPr>
            </w:pPr>
            <w:r w:rsidRPr="000A1085">
              <w:rPr>
                <w:rFonts w:cs="Calibri"/>
                <w:color w:val="000000"/>
                <w:sz w:val="24"/>
                <w:szCs w:val="24"/>
              </w:rPr>
              <w:t>Healthcare staff will also respect and comply with their obligations under the common law duty of confidence.</w:t>
            </w:r>
          </w:p>
        </w:tc>
      </w:tr>
      <w:tr w:rsidR="00B95398" w:rsidRPr="000A1085" w14:paraId="7EC183EA" w14:textId="77777777" w:rsidTr="000A1085">
        <w:tc>
          <w:tcPr>
            <w:tcW w:w="2405" w:type="dxa"/>
            <w:shd w:val="clear" w:color="auto" w:fill="auto"/>
          </w:tcPr>
          <w:p w14:paraId="027825B7" w14:textId="77777777" w:rsidR="00B95398" w:rsidRPr="00E332D7" w:rsidRDefault="00B95398" w:rsidP="000A1085">
            <w:pPr>
              <w:rPr>
                <w:rFonts w:cs="Calibri"/>
                <w:color w:val="000000"/>
                <w:sz w:val="24"/>
                <w:szCs w:val="24"/>
                <w:lang w:eastAsia="en-GB"/>
              </w:rPr>
            </w:pPr>
            <w:r w:rsidRPr="000A1085">
              <w:rPr>
                <w:rFonts w:cs="Calibri"/>
                <w:b/>
                <w:color w:val="000000"/>
                <w:sz w:val="24"/>
                <w:szCs w:val="24"/>
                <w:lang w:eastAsia="en-GB"/>
              </w:rPr>
              <w:t xml:space="preserve">Recipient or categories of recipients </w:t>
            </w:r>
            <w:r w:rsidRPr="000A1085">
              <w:rPr>
                <w:rFonts w:cs="Calibri"/>
                <w:color w:val="000000"/>
                <w:sz w:val="24"/>
                <w:szCs w:val="24"/>
                <w:lang w:eastAsia="en-GB"/>
              </w:rPr>
              <w:t>of the processed data</w:t>
            </w:r>
          </w:p>
        </w:tc>
        <w:tc>
          <w:tcPr>
            <w:tcW w:w="6611" w:type="dxa"/>
            <w:shd w:val="clear" w:color="auto" w:fill="auto"/>
          </w:tcPr>
          <w:p w14:paraId="564B9BAB" w14:textId="77777777" w:rsidR="00B95398" w:rsidRPr="000A1085" w:rsidRDefault="00B95398" w:rsidP="000A1085">
            <w:pPr>
              <w:rPr>
                <w:rFonts w:cs="Calibri"/>
                <w:color w:val="000000"/>
                <w:sz w:val="24"/>
                <w:szCs w:val="24"/>
                <w:lang w:eastAsia="en-GB"/>
              </w:rPr>
            </w:pPr>
            <w:r w:rsidRPr="000A1085">
              <w:rPr>
                <w:rFonts w:cs="Calibri"/>
                <w:color w:val="000000"/>
                <w:sz w:val="24"/>
                <w:szCs w:val="24"/>
                <w:lang w:eastAsia="en-GB"/>
              </w:rPr>
              <w:t xml:space="preserve">The data will be shared with: </w:t>
            </w:r>
          </w:p>
          <w:p w14:paraId="2D9FE630" w14:textId="77777777" w:rsidR="006574D4" w:rsidRDefault="00971B61" w:rsidP="000A1085">
            <w:pPr>
              <w:pStyle w:val="ListParagraph"/>
              <w:numPr>
                <w:ilvl w:val="0"/>
                <w:numId w:val="14"/>
              </w:numPr>
              <w:contextualSpacing/>
              <w:rPr>
                <w:rFonts w:ascii="Calibri" w:hAnsi="Calibri" w:cs="Calibri"/>
                <w:color w:val="000000"/>
                <w:lang w:eastAsia="en-GB"/>
              </w:rPr>
            </w:pPr>
            <w:r>
              <w:rPr>
                <w:rFonts w:ascii="Calibri" w:hAnsi="Calibri" w:cs="Calibri"/>
                <w:color w:val="000000"/>
                <w:lang w:eastAsia="en-GB"/>
              </w:rPr>
              <w:t xml:space="preserve">Mid Essex CCG Safeguarding </w:t>
            </w:r>
            <w:proofErr w:type="gramStart"/>
            <w:r>
              <w:rPr>
                <w:rFonts w:ascii="Calibri" w:hAnsi="Calibri" w:cs="Calibri"/>
                <w:color w:val="000000"/>
                <w:lang w:eastAsia="en-GB"/>
              </w:rPr>
              <w:t>Teams;</w:t>
            </w:r>
            <w:proofErr w:type="gramEnd"/>
            <w:r>
              <w:rPr>
                <w:rFonts w:ascii="Calibri" w:hAnsi="Calibri" w:cs="Calibri"/>
                <w:color w:val="000000"/>
                <w:lang w:eastAsia="en-GB"/>
              </w:rPr>
              <w:t xml:space="preserve"> </w:t>
            </w:r>
          </w:p>
          <w:p w14:paraId="6A4E7B9A" w14:textId="77777777" w:rsidR="00971B61" w:rsidRDefault="00971B61" w:rsidP="00971B61">
            <w:pPr>
              <w:pStyle w:val="ListParagraph"/>
              <w:numPr>
                <w:ilvl w:val="0"/>
                <w:numId w:val="14"/>
              </w:numPr>
              <w:contextualSpacing/>
              <w:rPr>
                <w:rFonts w:ascii="Calibri" w:hAnsi="Calibri" w:cs="Calibri"/>
                <w:color w:val="000000"/>
                <w:lang w:eastAsia="en-GB"/>
              </w:rPr>
            </w:pPr>
            <w:r>
              <w:rPr>
                <w:rFonts w:ascii="Calibri" w:hAnsi="Calibri" w:cs="Calibri"/>
                <w:color w:val="000000"/>
                <w:lang w:eastAsia="en-GB"/>
              </w:rPr>
              <w:t>Essex County Council Safeguarding Teams; and</w:t>
            </w:r>
          </w:p>
          <w:p w14:paraId="5FE8BDAD" w14:textId="77777777" w:rsidR="006574D4" w:rsidRPr="00E332D7" w:rsidRDefault="00971B61" w:rsidP="00E332D7">
            <w:pPr>
              <w:pStyle w:val="ListParagraph"/>
              <w:numPr>
                <w:ilvl w:val="0"/>
                <w:numId w:val="14"/>
              </w:numPr>
              <w:contextualSpacing/>
              <w:rPr>
                <w:rFonts w:ascii="Calibri" w:hAnsi="Calibri" w:cs="Calibri"/>
                <w:color w:val="000000"/>
                <w:lang w:eastAsia="en-GB"/>
              </w:rPr>
            </w:pPr>
            <w:r>
              <w:rPr>
                <w:rFonts w:ascii="Calibri" w:hAnsi="Calibri" w:cs="Calibri"/>
                <w:color w:val="000000"/>
                <w:lang w:eastAsia="en-GB"/>
              </w:rPr>
              <w:t>Healthcare Professionals and services involved in the patient’s care</w:t>
            </w:r>
          </w:p>
        </w:tc>
      </w:tr>
      <w:tr w:rsidR="00B95398" w:rsidRPr="000A1085" w14:paraId="6FA609AE" w14:textId="77777777" w:rsidTr="000A1085">
        <w:tc>
          <w:tcPr>
            <w:tcW w:w="2405" w:type="dxa"/>
            <w:shd w:val="clear" w:color="auto" w:fill="auto"/>
          </w:tcPr>
          <w:p w14:paraId="60EEA1B1" w14:textId="77777777" w:rsidR="00E332D7" w:rsidRDefault="00E332D7" w:rsidP="000A1085">
            <w:pPr>
              <w:rPr>
                <w:rFonts w:cs="Calibri"/>
                <w:b/>
                <w:color w:val="000000"/>
                <w:sz w:val="24"/>
                <w:szCs w:val="24"/>
                <w:lang w:eastAsia="en-GB"/>
              </w:rPr>
            </w:pPr>
          </w:p>
          <w:p w14:paraId="3DBDDC8A" w14:textId="77777777" w:rsidR="00B95398" w:rsidRPr="000A1085" w:rsidRDefault="00B95398" w:rsidP="000A1085">
            <w:pPr>
              <w:rPr>
                <w:rFonts w:cs="Calibri"/>
                <w:sz w:val="24"/>
                <w:szCs w:val="24"/>
              </w:rPr>
            </w:pPr>
            <w:r w:rsidRPr="000A1085">
              <w:rPr>
                <w:rFonts w:cs="Calibri"/>
                <w:b/>
                <w:color w:val="000000"/>
                <w:sz w:val="24"/>
                <w:szCs w:val="24"/>
                <w:lang w:eastAsia="en-GB"/>
              </w:rPr>
              <w:t>Rights to object</w:t>
            </w:r>
          </w:p>
          <w:p w14:paraId="37C280C9" w14:textId="77777777" w:rsidR="00B95398" w:rsidRPr="000A1085" w:rsidRDefault="00B95398" w:rsidP="000A1085">
            <w:pPr>
              <w:rPr>
                <w:rFonts w:cs="Calibri"/>
                <w:sz w:val="24"/>
                <w:szCs w:val="24"/>
              </w:rPr>
            </w:pPr>
          </w:p>
        </w:tc>
        <w:tc>
          <w:tcPr>
            <w:tcW w:w="6611" w:type="dxa"/>
            <w:shd w:val="clear" w:color="auto" w:fill="auto"/>
          </w:tcPr>
          <w:p w14:paraId="3BD37304" w14:textId="77777777" w:rsidR="00437835" w:rsidRPr="005D6553" w:rsidRDefault="00437835" w:rsidP="00437835">
            <w:pPr>
              <w:pStyle w:val="ListParagraph"/>
              <w:numPr>
                <w:ilvl w:val="0"/>
                <w:numId w:val="15"/>
              </w:numPr>
              <w:contextualSpacing/>
              <w:rPr>
                <w:rFonts w:ascii="Calibri" w:hAnsi="Calibri" w:cs="Calibri"/>
              </w:rPr>
            </w:pPr>
            <w:r w:rsidRPr="005D6553">
              <w:rPr>
                <w:rFonts w:ascii="Calibri" w:hAnsi="Calibri" w:cs="Calibri"/>
              </w:rPr>
              <w:t xml:space="preserve">You are not able to object when information is legitimately shared for safeguarding reasons. </w:t>
            </w:r>
          </w:p>
          <w:p w14:paraId="39F02BAF" w14:textId="77777777" w:rsidR="00437835" w:rsidRPr="005D6553" w:rsidRDefault="00437835" w:rsidP="00437835">
            <w:pPr>
              <w:pStyle w:val="ListParagraph"/>
              <w:numPr>
                <w:ilvl w:val="0"/>
                <w:numId w:val="15"/>
              </w:numPr>
              <w:contextualSpacing/>
              <w:rPr>
                <w:rFonts w:ascii="Calibri" w:hAnsi="Calibri" w:cs="Calibri"/>
              </w:rPr>
            </w:pPr>
            <w:r w:rsidRPr="005D6553">
              <w:rPr>
                <w:rFonts w:ascii="Calibri" w:hAnsi="Calibri" w:cs="Calibri"/>
              </w:rPr>
              <w:t xml:space="preserve">In appropriate circumstances it is a legal and professional requirement to share information for safeguarding reasons. This is to protect people from harm. </w:t>
            </w:r>
          </w:p>
          <w:p w14:paraId="4DC89A23" w14:textId="77777777" w:rsidR="00E332D7" w:rsidRPr="005D6553" w:rsidRDefault="00E332D7" w:rsidP="00437835">
            <w:pPr>
              <w:pStyle w:val="ListParagraph"/>
              <w:numPr>
                <w:ilvl w:val="0"/>
                <w:numId w:val="15"/>
              </w:numPr>
              <w:contextualSpacing/>
              <w:rPr>
                <w:rFonts w:ascii="Calibri" w:hAnsi="Calibri" w:cs="Calibri"/>
              </w:rPr>
            </w:pPr>
          </w:p>
          <w:p w14:paraId="23CE0815" w14:textId="77777777" w:rsidR="00E332D7" w:rsidRPr="005D6553" w:rsidRDefault="00E332D7" w:rsidP="00E332D7">
            <w:pPr>
              <w:spacing w:after="0" w:line="240" w:lineRule="auto"/>
              <w:rPr>
                <w:color w:val="000000"/>
                <w:sz w:val="24"/>
                <w:szCs w:val="24"/>
                <w:lang w:eastAsia="en-GB"/>
              </w:rPr>
            </w:pPr>
            <w:r w:rsidRPr="005D6553">
              <w:rPr>
                <w:color w:val="000000"/>
                <w:sz w:val="24"/>
                <w:szCs w:val="24"/>
                <w:lang w:eastAsia="en-GB"/>
              </w:rPr>
              <w:t>There is also GMC guidance:</w:t>
            </w:r>
          </w:p>
          <w:p w14:paraId="3218DF87" w14:textId="77777777" w:rsidR="00E332D7" w:rsidRPr="005D6553" w:rsidRDefault="00E332D7" w:rsidP="00E332D7">
            <w:pPr>
              <w:pStyle w:val="ListParagraph"/>
              <w:ind w:left="0"/>
              <w:contextualSpacing/>
              <w:rPr>
                <w:rFonts w:ascii="Calibri" w:hAnsi="Calibri" w:cs="Calibri"/>
                <w:sz w:val="14"/>
                <w:szCs w:val="14"/>
              </w:rPr>
            </w:pPr>
            <w:hyperlink r:id="rId10" w:history="1">
              <w:r w:rsidRPr="005D6553">
                <w:rPr>
                  <w:rStyle w:val="Hyperlink"/>
                  <w:rFonts w:ascii="Calibri" w:hAnsi="Calibri"/>
                  <w:sz w:val="14"/>
                  <w:szCs w:val="14"/>
                  <w:lang w:eastAsia="en-GB"/>
                </w:rPr>
                <w:t>https://www.gmc-uk.org/guidance/ethical_guidance/children_guidance_56_63_child_protection.asp</w:t>
              </w:r>
            </w:hyperlink>
          </w:p>
          <w:p w14:paraId="7F4405F8" w14:textId="77777777" w:rsidR="00B95398" w:rsidRPr="000A1085" w:rsidRDefault="00B95398" w:rsidP="000A1085">
            <w:pPr>
              <w:pStyle w:val="ListParagraph"/>
              <w:contextualSpacing/>
              <w:rPr>
                <w:rFonts w:ascii="Calibri" w:hAnsi="Calibri" w:cs="Calibri"/>
              </w:rPr>
            </w:pPr>
          </w:p>
        </w:tc>
      </w:tr>
      <w:tr w:rsidR="00B95398" w:rsidRPr="000A1085" w14:paraId="47E7F4C7" w14:textId="77777777" w:rsidTr="000A1085">
        <w:tc>
          <w:tcPr>
            <w:tcW w:w="2405" w:type="dxa"/>
            <w:shd w:val="clear" w:color="auto" w:fill="auto"/>
          </w:tcPr>
          <w:p w14:paraId="4FCE4B86" w14:textId="77777777" w:rsidR="00B95398" w:rsidRPr="000A1085" w:rsidRDefault="00B95398" w:rsidP="000A1085">
            <w:pPr>
              <w:rPr>
                <w:rFonts w:cs="Calibri"/>
                <w:sz w:val="24"/>
                <w:szCs w:val="24"/>
              </w:rPr>
            </w:pPr>
            <w:r w:rsidRPr="000A1085">
              <w:rPr>
                <w:rFonts w:cs="Calibri"/>
                <w:b/>
                <w:color w:val="000000"/>
                <w:sz w:val="24"/>
                <w:szCs w:val="24"/>
                <w:lang w:eastAsia="en-GB"/>
              </w:rPr>
              <w:t>Right to access and correct</w:t>
            </w:r>
          </w:p>
        </w:tc>
        <w:tc>
          <w:tcPr>
            <w:tcW w:w="6611" w:type="dxa"/>
            <w:shd w:val="clear" w:color="auto" w:fill="auto"/>
          </w:tcPr>
          <w:p w14:paraId="38344280" w14:textId="77777777" w:rsidR="00B95398" w:rsidRPr="005D6553" w:rsidRDefault="00E332D7" w:rsidP="00476DC7">
            <w:pPr>
              <w:pStyle w:val="ListParagraph"/>
              <w:ind w:left="0"/>
              <w:contextualSpacing/>
              <w:rPr>
                <w:rFonts w:ascii="Calibri" w:hAnsi="Calibri"/>
                <w:color w:val="000000"/>
                <w:lang w:eastAsia="en-GB"/>
              </w:rPr>
            </w:pPr>
            <w:r w:rsidRPr="005D6553">
              <w:rPr>
                <w:rFonts w:ascii="Calibri" w:hAnsi="Calibri"/>
                <w:lang w:eastAsia="en-GB"/>
              </w:rPr>
              <w:t>The DSs or legal representatives has the right to access the data that is being shared and have any inaccuracies corrected</w:t>
            </w:r>
            <w:r w:rsidRPr="005D6553">
              <w:rPr>
                <w:rFonts w:ascii="Calibri" w:hAnsi="Calibri"/>
                <w:color w:val="000000"/>
                <w:lang w:eastAsia="en-GB"/>
              </w:rPr>
              <w:t>. There is no right to have accurate medical records deleted except when ordered by a court of Law.</w:t>
            </w:r>
          </w:p>
        </w:tc>
      </w:tr>
      <w:tr w:rsidR="00B95398" w:rsidRPr="000A1085" w14:paraId="1C56F2F0" w14:textId="77777777" w:rsidTr="000A1085">
        <w:tc>
          <w:tcPr>
            <w:tcW w:w="2405" w:type="dxa"/>
            <w:shd w:val="clear" w:color="auto" w:fill="auto"/>
          </w:tcPr>
          <w:p w14:paraId="28A64CB0" w14:textId="77777777" w:rsidR="00B95398" w:rsidRPr="000A1085" w:rsidRDefault="00B95398" w:rsidP="000A1085">
            <w:pPr>
              <w:rPr>
                <w:rFonts w:cs="Calibri"/>
                <w:b/>
                <w:color w:val="000000"/>
                <w:sz w:val="24"/>
                <w:szCs w:val="24"/>
                <w:lang w:eastAsia="en-GB"/>
              </w:rPr>
            </w:pPr>
            <w:r w:rsidRPr="000A1085">
              <w:rPr>
                <w:rFonts w:cs="Calibri"/>
                <w:b/>
                <w:color w:val="000000"/>
                <w:sz w:val="24"/>
                <w:szCs w:val="24"/>
                <w:lang w:eastAsia="en-GB"/>
              </w:rPr>
              <w:t>Retention period</w:t>
            </w:r>
          </w:p>
          <w:p w14:paraId="0ED8BFFA" w14:textId="77777777" w:rsidR="00B95398" w:rsidRPr="000A1085" w:rsidRDefault="00B95398" w:rsidP="000A1085">
            <w:pPr>
              <w:rPr>
                <w:rFonts w:cs="Calibri"/>
                <w:sz w:val="24"/>
                <w:szCs w:val="24"/>
              </w:rPr>
            </w:pPr>
          </w:p>
        </w:tc>
        <w:tc>
          <w:tcPr>
            <w:tcW w:w="6611" w:type="dxa"/>
            <w:shd w:val="clear" w:color="auto" w:fill="auto"/>
          </w:tcPr>
          <w:p w14:paraId="2C498A9A" w14:textId="77777777" w:rsidR="00B95398" w:rsidRPr="000A1085" w:rsidRDefault="00B95398" w:rsidP="000A1085">
            <w:pPr>
              <w:rPr>
                <w:rFonts w:cs="Calibri"/>
                <w:color w:val="0000FF"/>
                <w:sz w:val="24"/>
                <w:szCs w:val="24"/>
                <w:u w:val="single"/>
                <w:lang w:eastAsia="en-GB"/>
              </w:rPr>
            </w:pPr>
            <w:r w:rsidRPr="000A1085">
              <w:rPr>
                <w:rFonts w:cs="Calibri"/>
                <w:color w:val="000000"/>
                <w:sz w:val="24"/>
                <w:szCs w:val="24"/>
                <w:lang w:eastAsia="en-GB"/>
              </w:rPr>
              <w:lastRenderedPageBreak/>
              <w:t xml:space="preserve">GP medical records will be kept in line with the law and national guidance. Information on how long records are kept can be </w:t>
            </w:r>
            <w:r w:rsidRPr="000A1085">
              <w:rPr>
                <w:rFonts w:cs="Calibri"/>
                <w:color w:val="000000"/>
                <w:sz w:val="24"/>
                <w:szCs w:val="24"/>
                <w:lang w:eastAsia="en-GB"/>
              </w:rPr>
              <w:lastRenderedPageBreak/>
              <w:t xml:space="preserve">found at: </w:t>
            </w:r>
            <w:hyperlink r:id="rId11" w:history="1">
              <w:r w:rsidRPr="000A1085">
                <w:rPr>
                  <w:rStyle w:val="Hyperlink"/>
                  <w:rFonts w:cs="Calibri"/>
                  <w:sz w:val="24"/>
                  <w:szCs w:val="24"/>
                  <w:lang w:eastAsia="en-GB"/>
                </w:rPr>
                <w:t>https://digital.nhs.uk/article/1202/Records-Management-Code-of-Practice-for-Health-and-Social-Care-2016</w:t>
              </w:r>
            </w:hyperlink>
            <w:r w:rsidRPr="000A1085">
              <w:rPr>
                <w:rStyle w:val="Hyperlink"/>
                <w:rFonts w:cs="Calibri"/>
                <w:sz w:val="24"/>
                <w:szCs w:val="24"/>
                <w:lang w:eastAsia="en-GB"/>
              </w:rPr>
              <w:t xml:space="preserve"> </w:t>
            </w:r>
          </w:p>
        </w:tc>
      </w:tr>
      <w:tr w:rsidR="00B95398" w:rsidRPr="000A1085" w14:paraId="087E2BBC" w14:textId="77777777" w:rsidTr="000A1085">
        <w:tc>
          <w:tcPr>
            <w:tcW w:w="2405" w:type="dxa"/>
            <w:shd w:val="clear" w:color="auto" w:fill="auto"/>
          </w:tcPr>
          <w:p w14:paraId="4EB2B57B" w14:textId="77777777" w:rsidR="00B95398" w:rsidRPr="000A1085" w:rsidRDefault="00B95398" w:rsidP="000A1085">
            <w:pPr>
              <w:rPr>
                <w:rFonts w:cs="Calibri"/>
                <w:b/>
                <w:color w:val="000000"/>
                <w:sz w:val="24"/>
                <w:szCs w:val="24"/>
                <w:lang w:eastAsia="en-GB"/>
              </w:rPr>
            </w:pPr>
            <w:r w:rsidRPr="000A1085">
              <w:rPr>
                <w:rFonts w:cs="Calibri"/>
                <w:b/>
                <w:color w:val="000000"/>
                <w:sz w:val="24"/>
                <w:szCs w:val="24"/>
                <w:lang w:eastAsia="en-GB"/>
              </w:rPr>
              <w:lastRenderedPageBreak/>
              <w:t>Right to complain</w:t>
            </w:r>
          </w:p>
          <w:p w14:paraId="38E916C9" w14:textId="77777777" w:rsidR="00B95398" w:rsidRPr="000A1085" w:rsidRDefault="00B95398" w:rsidP="000A1085">
            <w:pPr>
              <w:rPr>
                <w:rFonts w:cs="Calibri"/>
                <w:sz w:val="24"/>
                <w:szCs w:val="24"/>
              </w:rPr>
            </w:pPr>
          </w:p>
        </w:tc>
        <w:tc>
          <w:tcPr>
            <w:tcW w:w="6611" w:type="dxa"/>
            <w:shd w:val="clear" w:color="auto" w:fill="auto"/>
          </w:tcPr>
          <w:p w14:paraId="611BF476" w14:textId="77777777" w:rsidR="00B95398" w:rsidRPr="00CD51A7" w:rsidRDefault="00B95398" w:rsidP="000A1085">
            <w:pPr>
              <w:rPr>
                <w:bCs/>
                <w:sz w:val="24"/>
                <w:szCs w:val="24"/>
              </w:rPr>
            </w:pPr>
            <w:r w:rsidRPr="000A1085">
              <w:rPr>
                <w:rFonts w:cs="Calibri"/>
                <w:color w:val="000000"/>
                <w:sz w:val="24"/>
                <w:szCs w:val="24"/>
                <w:lang w:eastAsia="en-GB"/>
              </w:rPr>
              <w:t>You have the right to complain to the Information Commissioner’s Office. If you wish to complain follow this link</w:t>
            </w:r>
            <w:r w:rsidRPr="000A1085">
              <w:rPr>
                <w:rFonts w:cs="Calibri"/>
                <w:sz w:val="24"/>
                <w:szCs w:val="24"/>
              </w:rPr>
              <w:t xml:space="preserve"> </w:t>
            </w:r>
            <w:hyperlink r:id="rId12" w:history="1">
              <w:r w:rsidRPr="000A1085">
                <w:rPr>
                  <w:rStyle w:val="Hyperlink"/>
                  <w:rFonts w:cs="Calibri"/>
                  <w:sz w:val="24"/>
                  <w:szCs w:val="24"/>
                  <w:lang w:eastAsia="en-GB"/>
                </w:rPr>
                <w:t>https://ico.org.uk/global/contact-us/</w:t>
              </w:r>
            </w:hyperlink>
            <w:r w:rsidRPr="000A1085">
              <w:rPr>
                <w:rStyle w:val="Hyperlink"/>
                <w:rFonts w:cs="Calibri"/>
                <w:sz w:val="24"/>
                <w:szCs w:val="24"/>
                <w:lang w:eastAsia="en-GB"/>
              </w:rPr>
              <w:t xml:space="preserve"> or call the helpline </w:t>
            </w:r>
            <w:r w:rsidRPr="000A1085">
              <w:rPr>
                <w:rStyle w:val="Strong"/>
                <w:sz w:val="24"/>
                <w:szCs w:val="24"/>
              </w:rPr>
              <w:t>0303 123 1113</w:t>
            </w:r>
          </w:p>
        </w:tc>
      </w:tr>
      <w:tr w:rsidR="00B95398" w:rsidRPr="000A1085" w14:paraId="3DE07080" w14:textId="77777777" w:rsidTr="000A1085">
        <w:tc>
          <w:tcPr>
            <w:tcW w:w="2405" w:type="dxa"/>
            <w:shd w:val="clear" w:color="auto" w:fill="auto"/>
          </w:tcPr>
          <w:p w14:paraId="6B608F1B" w14:textId="77777777" w:rsidR="00B95398" w:rsidRPr="000A1085" w:rsidRDefault="00B95398" w:rsidP="000A1085">
            <w:pPr>
              <w:rPr>
                <w:rFonts w:cs="Calibri"/>
                <w:b/>
                <w:color w:val="000000"/>
                <w:sz w:val="24"/>
                <w:szCs w:val="24"/>
                <w:lang w:eastAsia="en-GB"/>
              </w:rPr>
            </w:pPr>
            <w:r w:rsidRPr="000A1085">
              <w:rPr>
                <w:rFonts w:cs="Calibri"/>
                <w:b/>
                <w:color w:val="000000"/>
                <w:sz w:val="24"/>
                <w:szCs w:val="24"/>
                <w:lang w:eastAsia="en-GB"/>
              </w:rPr>
              <w:t>Data we get from other organisations</w:t>
            </w:r>
          </w:p>
        </w:tc>
        <w:tc>
          <w:tcPr>
            <w:tcW w:w="6611" w:type="dxa"/>
            <w:shd w:val="clear" w:color="auto" w:fill="auto"/>
          </w:tcPr>
          <w:p w14:paraId="725EE768" w14:textId="77777777" w:rsidR="00B95398" w:rsidRPr="000A1085" w:rsidRDefault="00B95398" w:rsidP="00476DC7">
            <w:pPr>
              <w:jc w:val="both"/>
              <w:rPr>
                <w:rFonts w:cs="Calibri"/>
                <w:color w:val="000000"/>
                <w:sz w:val="24"/>
                <w:szCs w:val="24"/>
                <w:lang w:eastAsia="en-GB"/>
              </w:rPr>
            </w:pPr>
            <w:r w:rsidRPr="000A1085">
              <w:rPr>
                <w:rFonts w:cs="Calibri"/>
                <w:color w:val="000000"/>
                <w:sz w:val="24"/>
                <w:szCs w:val="24"/>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6648B1BE" w14:textId="77777777" w:rsidR="008B28A6" w:rsidRPr="000A1085" w:rsidRDefault="008B28A6" w:rsidP="00AF418D">
      <w:pPr>
        <w:rPr>
          <w:b/>
          <w:bCs/>
          <w:i/>
          <w:iCs/>
          <w:color w:val="1F497D"/>
          <w:sz w:val="24"/>
          <w:szCs w:val="24"/>
          <w:lang w:eastAsia="en-GB"/>
        </w:rPr>
      </w:pPr>
    </w:p>
    <w:sectPr w:rsidR="008B28A6" w:rsidRPr="000A1085" w:rsidSect="003951F8">
      <w:footerReference w:type="default" r:id="rId13"/>
      <w:pgSz w:w="11906" w:h="16838"/>
      <w:pgMar w:top="567"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4AB4E" w14:textId="77777777" w:rsidR="005D6553" w:rsidRDefault="005D6553" w:rsidP="00C17D56">
      <w:pPr>
        <w:spacing w:after="0" w:line="240" w:lineRule="auto"/>
      </w:pPr>
      <w:r>
        <w:separator/>
      </w:r>
    </w:p>
  </w:endnote>
  <w:endnote w:type="continuationSeparator" w:id="0">
    <w:p w14:paraId="392FD095" w14:textId="77777777" w:rsidR="005D6553" w:rsidRDefault="005D6553" w:rsidP="00C17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A1AA" w14:textId="77777777" w:rsidR="00437835" w:rsidRDefault="00437835" w:rsidP="00C17D56">
    <w:pPr>
      <w:pStyle w:val="Footer"/>
      <w:jc w:val="center"/>
      <w:rPr>
        <w:sz w:val="14"/>
        <w:szCs w:val="14"/>
      </w:rPr>
    </w:pPr>
  </w:p>
  <w:p w14:paraId="0074BA1F" w14:textId="77777777" w:rsidR="00437835" w:rsidRDefault="00437835" w:rsidP="00C17D56">
    <w:pPr>
      <w:pStyle w:val="Footer"/>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A1DCE" w14:textId="77777777" w:rsidR="005D6553" w:rsidRDefault="005D6553" w:rsidP="00C17D56">
      <w:pPr>
        <w:spacing w:after="0" w:line="240" w:lineRule="auto"/>
      </w:pPr>
      <w:r>
        <w:separator/>
      </w:r>
    </w:p>
  </w:footnote>
  <w:footnote w:type="continuationSeparator" w:id="0">
    <w:p w14:paraId="7AF3C640" w14:textId="77777777" w:rsidR="005D6553" w:rsidRDefault="005D6553" w:rsidP="00C17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D1B7B"/>
    <w:multiLevelType w:val="hybridMultilevel"/>
    <w:tmpl w:val="CEDC44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11477"/>
    <w:multiLevelType w:val="hybridMultilevel"/>
    <w:tmpl w:val="10E0E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B0136"/>
    <w:multiLevelType w:val="hybridMultilevel"/>
    <w:tmpl w:val="B3C65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6776C"/>
    <w:multiLevelType w:val="hybridMultilevel"/>
    <w:tmpl w:val="7938B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8" w15:restartNumberingAfterBreak="0">
    <w:nsid w:val="549D4CE2"/>
    <w:multiLevelType w:val="hybridMultilevel"/>
    <w:tmpl w:val="3C223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2D3B1F"/>
    <w:multiLevelType w:val="hybridMultilevel"/>
    <w:tmpl w:val="7A0A7822"/>
    <w:lvl w:ilvl="0" w:tplc="015443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BA2FB1"/>
    <w:multiLevelType w:val="hybridMultilevel"/>
    <w:tmpl w:val="B922CDB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35C09896"/>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E0527A"/>
    <w:multiLevelType w:val="hybridMultilevel"/>
    <w:tmpl w:val="9D148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0921088">
    <w:abstractNumId w:val="3"/>
  </w:num>
  <w:num w:numId="2" w16cid:durableId="1001156330">
    <w:abstractNumId w:val="9"/>
  </w:num>
  <w:num w:numId="3" w16cid:durableId="1131364679">
    <w:abstractNumId w:val="8"/>
  </w:num>
  <w:num w:numId="4" w16cid:durableId="2145076819">
    <w:abstractNumId w:val="4"/>
  </w:num>
  <w:num w:numId="5" w16cid:durableId="256184182">
    <w:abstractNumId w:val="5"/>
  </w:num>
  <w:num w:numId="6" w16cid:durableId="1382485328">
    <w:abstractNumId w:val="1"/>
    <w:lvlOverride w:ilvl="0"/>
    <w:lvlOverride w:ilvl="1"/>
    <w:lvlOverride w:ilvl="2"/>
    <w:lvlOverride w:ilvl="3"/>
    <w:lvlOverride w:ilvl="4"/>
    <w:lvlOverride w:ilvl="5"/>
    <w:lvlOverride w:ilvl="6"/>
    <w:lvlOverride w:ilvl="7"/>
    <w:lvlOverride w:ilvl="8"/>
  </w:num>
  <w:num w:numId="7" w16cid:durableId="1895660718">
    <w:abstractNumId w:val="1"/>
  </w:num>
  <w:num w:numId="8" w16cid:durableId="2112818005">
    <w:abstractNumId w:val="10"/>
  </w:num>
  <w:num w:numId="9" w16cid:durableId="2114932869">
    <w:abstractNumId w:val="17"/>
  </w:num>
  <w:num w:numId="10" w16cid:durableId="1170363598">
    <w:abstractNumId w:val="12"/>
  </w:num>
  <w:num w:numId="11" w16cid:durableId="543564822">
    <w:abstractNumId w:val="13"/>
  </w:num>
  <w:num w:numId="12" w16cid:durableId="724717348">
    <w:abstractNumId w:val="14"/>
  </w:num>
  <w:num w:numId="13" w16cid:durableId="1653871167">
    <w:abstractNumId w:val="11"/>
  </w:num>
  <w:num w:numId="14" w16cid:durableId="730887153">
    <w:abstractNumId w:val="6"/>
  </w:num>
  <w:num w:numId="15" w16cid:durableId="837689805">
    <w:abstractNumId w:val="0"/>
  </w:num>
  <w:num w:numId="16" w16cid:durableId="1641569876">
    <w:abstractNumId w:val="16"/>
  </w:num>
  <w:num w:numId="17" w16cid:durableId="51122959">
    <w:abstractNumId w:val="2"/>
  </w:num>
  <w:num w:numId="18" w16cid:durableId="1584754162">
    <w:abstractNumId w:val="7"/>
  </w:num>
  <w:num w:numId="19" w16cid:durableId="5969860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E7"/>
    <w:rsid w:val="00031462"/>
    <w:rsid w:val="0004525A"/>
    <w:rsid w:val="00082B4B"/>
    <w:rsid w:val="000A1085"/>
    <w:rsid w:val="000A1FB3"/>
    <w:rsid w:val="000C7F7B"/>
    <w:rsid w:val="000D3788"/>
    <w:rsid w:val="00142F46"/>
    <w:rsid w:val="001806A9"/>
    <w:rsid w:val="001B6CF1"/>
    <w:rsid w:val="001D6101"/>
    <w:rsid w:val="00210EDE"/>
    <w:rsid w:val="0022186A"/>
    <w:rsid w:val="002315BF"/>
    <w:rsid w:val="00272598"/>
    <w:rsid w:val="00293044"/>
    <w:rsid w:val="002A70C1"/>
    <w:rsid w:val="00310A02"/>
    <w:rsid w:val="00310DB8"/>
    <w:rsid w:val="0032585C"/>
    <w:rsid w:val="00347E21"/>
    <w:rsid w:val="00385D7B"/>
    <w:rsid w:val="003951F8"/>
    <w:rsid w:val="003C3D86"/>
    <w:rsid w:val="003E7623"/>
    <w:rsid w:val="0042547F"/>
    <w:rsid w:val="00437835"/>
    <w:rsid w:val="00463E17"/>
    <w:rsid w:val="004675DD"/>
    <w:rsid w:val="00476DC7"/>
    <w:rsid w:val="0048522B"/>
    <w:rsid w:val="004B488B"/>
    <w:rsid w:val="0050473D"/>
    <w:rsid w:val="00505683"/>
    <w:rsid w:val="00574BF3"/>
    <w:rsid w:val="0059555B"/>
    <w:rsid w:val="005A0B83"/>
    <w:rsid w:val="005B14D5"/>
    <w:rsid w:val="005B66AB"/>
    <w:rsid w:val="005D6553"/>
    <w:rsid w:val="005F4452"/>
    <w:rsid w:val="0060749B"/>
    <w:rsid w:val="006574D4"/>
    <w:rsid w:val="006A3466"/>
    <w:rsid w:val="006A5198"/>
    <w:rsid w:val="00732667"/>
    <w:rsid w:val="00775A90"/>
    <w:rsid w:val="007F0A3C"/>
    <w:rsid w:val="007F1E7F"/>
    <w:rsid w:val="00817C73"/>
    <w:rsid w:val="008407D0"/>
    <w:rsid w:val="0086076D"/>
    <w:rsid w:val="0088209C"/>
    <w:rsid w:val="008A2167"/>
    <w:rsid w:val="008B28A6"/>
    <w:rsid w:val="008C797A"/>
    <w:rsid w:val="00920AB1"/>
    <w:rsid w:val="009455EE"/>
    <w:rsid w:val="00971B61"/>
    <w:rsid w:val="009A7F75"/>
    <w:rsid w:val="00A13D59"/>
    <w:rsid w:val="00A23412"/>
    <w:rsid w:val="00A31ED8"/>
    <w:rsid w:val="00A80AC2"/>
    <w:rsid w:val="00AA45B8"/>
    <w:rsid w:val="00AA4986"/>
    <w:rsid w:val="00AC608A"/>
    <w:rsid w:val="00AD6CB3"/>
    <w:rsid w:val="00AF418D"/>
    <w:rsid w:val="00B42ABA"/>
    <w:rsid w:val="00B64DA6"/>
    <w:rsid w:val="00B95398"/>
    <w:rsid w:val="00BB0881"/>
    <w:rsid w:val="00C00E7B"/>
    <w:rsid w:val="00C07D8C"/>
    <w:rsid w:val="00C13BE4"/>
    <w:rsid w:val="00C17D56"/>
    <w:rsid w:val="00C63851"/>
    <w:rsid w:val="00C64626"/>
    <w:rsid w:val="00C91CEC"/>
    <w:rsid w:val="00C966E7"/>
    <w:rsid w:val="00C97591"/>
    <w:rsid w:val="00CD51A7"/>
    <w:rsid w:val="00CE6ACB"/>
    <w:rsid w:val="00D116A9"/>
    <w:rsid w:val="00D31F29"/>
    <w:rsid w:val="00D82F50"/>
    <w:rsid w:val="00DB06CE"/>
    <w:rsid w:val="00DC7634"/>
    <w:rsid w:val="00E332D7"/>
    <w:rsid w:val="00E749AB"/>
    <w:rsid w:val="00E83274"/>
    <w:rsid w:val="00E8456C"/>
    <w:rsid w:val="00E90989"/>
    <w:rsid w:val="00ED3BBA"/>
    <w:rsid w:val="00EE701C"/>
    <w:rsid w:val="00F02521"/>
    <w:rsid w:val="00F030F5"/>
    <w:rsid w:val="00F379DC"/>
    <w:rsid w:val="00FB0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D3B702"/>
  <w15:chartTrackingRefBased/>
  <w15:docId w15:val="{3018C898-7E7F-4712-B8F3-FC1D91844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link w:val="Heading2Char"/>
    <w:uiPriority w:val="9"/>
    <w:qFormat/>
    <w:rsid w:val="00A80AC2"/>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66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966E7"/>
    <w:rPr>
      <w:rFonts w:ascii="Tahoma" w:hAnsi="Tahoma" w:cs="Tahoma"/>
      <w:sz w:val="16"/>
      <w:szCs w:val="16"/>
    </w:rPr>
  </w:style>
  <w:style w:type="table" w:styleId="TableGrid">
    <w:name w:val="Table Grid"/>
    <w:basedOn w:val="TableNormal"/>
    <w:uiPriority w:val="39"/>
    <w:rsid w:val="00C9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A70C1"/>
    <w:rPr>
      <w:color w:val="0000FF"/>
      <w:u w:val="single"/>
    </w:rPr>
  </w:style>
  <w:style w:type="paragraph" w:customStyle="1" w:styleId="DocumentLabel">
    <w:name w:val="Document Label"/>
    <w:basedOn w:val="Normal"/>
    <w:qFormat/>
    <w:rsid w:val="00A13D59"/>
    <w:pPr>
      <w:keepNext/>
      <w:keepLines/>
      <w:spacing w:before="880" w:after="120" w:line="264" w:lineRule="auto"/>
      <w:ind w:left="576"/>
    </w:pPr>
    <w:rPr>
      <w:rFonts w:ascii="Cambria" w:eastAsia="Times New Roman" w:hAnsi="Cambria"/>
      <w:kern w:val="28"/>
      <w:sz w:val="148"/>
      <w:szCs w:val="20"/>
      <w:lang w:val="en-US"/>
    </w:rPr>
  </w:style>
  <w:style w:type="paragraph" w:styleId="MessageHeader">
    <w:name w:val="Message Header"/>
    <w:basedOn w:val="BodyText"/>
    <w:link w:val="MessageHeaderChar"/>
    <w:qFormat/>
    <w:rsid w:val="00A13D59"/>
    <w:pPr>
      <w:keepLines/>
      <w:tabs>
        <w:tab w:val="left" w:pos="720"/>
        <w:tab w:val="left" w:pos="4320"/>
        <w:tab w:val="left" w:pos="5040"/>
        <w:tab w:val="right" w:pos="8640"/>
      </w:tabs>
      <w:spacing w:before="280" w:after="40" w:line="264" w:lineRule="auto"/>
      <w:ind w:left="720" w:hanging="720"/>
    </w:pPr>
    <w:rPr>
      <w:rFonts w:eastAsia="Times New Roman"/>
      <w:caps/>
      <w:sz w:val="16"/>
      <w:szCs w:val="20"/>
      <w:lang w:val="en-US"/>
    </w:rPr>
  </w:style>
  <w:style w:type="character" w:customStyle="1" w:styleId="MessageHeaderChar">
    <w:name w:val="Message Header Char"/>
    <w:link w:val="MessageHeader"/>
    <w:rsid w:val="00A13D59"/>
    <w:rPr>
      <w:rFonts w:eastAsia="Times New Roman" w:cs="Times New Roman"/>
      <w:caps/>
      <w:sz w:val="16"/>
      <w:szCs w:val="20"/>
      <w:lang w:val="en-US"/>
    </w:rPr>
  </w:style>
  <w:style w:type="character" w:styleId="PlaceholderText">
    <w:name w:val="Placeholder Text"/>
    <w:basedOn w:val="DefaultParagraphFont"/>
    <w:uiPriority w:val="99"/>
    <w:semiHidden/>
    <w:rsid w:val="00A13D59"/>
  </w:style>
  <w:style w:type="paragraph" w:customStyle="1" w:styleId="MessageBody">
    <w:name w:val="Message Body"/>
    <w:basedOn w:val="Normal"/>
    <w:qFormat/>
    <w:rsid w:val="00A13D59"/>
    <w:pPr>
      <w:keepLines/>
      <w:tabs>
        <w:tab w:val="left" w:pos="720"/>
        <w:tab w:val="left" w:pos="4320"/>
        <w:tab w:val="left" w:pos="5040"/>
        <w:tab w:val="right" w:pos="8640"/>
      </w:tabs>
      <w:spacing w:before="280" w:after="40" w:line="264" w:lineRule="auto"/>
      <w:ind w:left="720" w:hanging="720"/>
    </w:pPr>
    <w:rPr>
      <w:rFonts w:eastAsia="Times New Roman"/>
      <w:sz w:val="16"/>
      <w:szCs w:val="20"/>
      <w:lang w:val="en-US"/>
    </w:rPr>
  </w:style>
  <w:style w:type="paragraph" w:styleId="BodyText">
    <w:name w:val="Body Text"/>
    <w:basedOn w:val="Normal"/>
    <w:link w:val="BodyTextChar"/>
    <w:uiPriority w:val="99"/>
    <w:semiHidden/>
    <w:unhideWhenUsed/>
    <w:rsid w:val="00A13D59"/>
    <w:pPr>
      <w:spacing w:after="120"/>
    </w:pPr>
  </w:style>
  <w:style w:type="character" w:customStyle="1" w:styleId="BodyTextChar">
    <w:name w:val="Body Text Char"/>
    <w:basedOn w:val="DefaultParagraphFont"/>
    <w:link w:val="BodyText"/>
    <w:uiPriority w:val="99"/>
    <w:semiHidden/>
    <w:rsid w:val="00A13D59"/>
  </w:style>
  <w:style w:type="paragraph" w:customStyle="1" w:styleId="ActionOptions">
    <w:name w:val="Action Options"/>
    <w:basedOn w:val="MessageHeader"/>
    <w:next w:val="BodyText"/>
    <w:qFormat/>
    <w:rsid w:val="00A13D59"/>
    <w:pPr>
      <w:pBdr>
        <w:between w:val="single" w:sz="6" w:space="1" w:color="auto"/>
      </w:pBdr>
      <w:tabs>
        <w:tab w:val="clear" w:pos="720"/>
        <w:tab w:val="clear" w:pos="4320"/>
        <w:tab w:val="clear" w:pos="5040"/>
        <w:tab w:val="clear" w:pos="8640"/>
        <w:tab w:val="left" w:pos="2102"/>
        <w:tab w:val="left" w:pos="3773"/>
        <w:tab w:val="left" w:pos="5875"/>
        <w:tab w:val="left" w:pos="7675"/>
      </w:tabs>
      <w:spacing w:before="400" w:after="400"/>
      <w:ind w:left="864" w:firstLine="0"/>
    </w:pPr>
    <w:rPr>
      <w:caps w:val="0"/>
      <w:sz w:val="18"/>
    </w:rPr>
  </w:style>
  <w:style w:type="paragraph" w:styleId="Header">
    <w:name w:val="header"/>
    <w:basedOn w:val="Normal"/>
    <w:link w:val="HeaderChar"/>
    <w:unhideWhenUsed/>
    <w:rsid w:val="00C17D56"/>
    <w:pPr>
      <w:tabs>
        <w:tab w:val="center" w:pos="4680"/>
        <w:tab w:val="right" w:pos="9360"/>
      </w:tabs>
    </w:pPr>
  </w:style>
  <w:style w:type="character" w:customStyle="1" w:styleId="HeaderChar">
    <w:name w:val="Header Char"/>
    <w:link w:val="Header"/>
    <w:rsid w:val="00C17D56"/>
    <w:rPr>
      <w:sz w:val="22"/>
      <w:szCs w:val="22"/>
      <w:lang w:eastAsia="en-US"/>
    </w:rPr>
  </w:style>
  <w:style w:type="paragraph" w:styleId="Footer">
    <w:name w:val="footer"/>
    <w:basedOn w:val="Normal"/>
    <w:link w:val="FooterChar"/>
    <w:uiPriority w:val="99"/>
    <w:unhideWhenUsed/>
    <w:rsid w:val="00C17D56"/>
    <w:pPr>
      <w:tabs>
        <w:tab w:val="center" w:pos="4680"/>
        <w:tab w:val="right" w:pos="9360"/>
      </w:tabs>
    </w:pPr>
  </w:style>
  <w:style w:type="character" w:customStyle="1" w:styleId="FooterChar">
    <w:name w:val="Footer Char"/>
    <w:link w:val="Footer"/>
    <w:uiPriority w:val="99"/>
    <w:rsid w:val="00C17D56"/>
    <w:rPr>
      <w:sz w:val="22"/>
      <w:szCs w:val="22"/>
      <w:lang w:eastAsia="en-US"/>
    </w:rPr>
  </w:style>
  <w:style w:type="paragraph" w:styleId="ListParagraph">
    <w:name w:val="List Paragraph"/>
    <w:basedOn w:val="Normal"/>
    <w:uiPriority w:val="34"/>
    <w:qFormat/>
    <w:rsid w:val="00C00E7B"/>
    <w:pPr>
      <w:spacing w:after="0" w:line="240" w:lineRule="auto"/>
      <w:ind w:left="720"/>
    </w:pPr>
    <w:rPr>
      <w:rFonts w:ascii="Times New Roman" w:eastAsia="Times New Roman" w:hAnsi="Times New Roman"/>
      <w:sz w:val="24"/>
      <w:szCs w:val="24"/>
    </w:rPr>
  </w:style>
  <w:style w:type="paragraph" w:styleId="NormalWeb">
    <w:name w:val="Normal (Web)"/>
    <w:basedOn w:val="Normal"/>
    <w:uiPriority w:val="99"/>
    <w:semiHidden/>
    <w:rsid w:val="0060749B"/>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uiPriority w:val="99"/>
    <w:semiHidden/>
    <w:unhideWhenUsed/>
    <w:rsid w:val="00F379DC"/>
    <w:rPr>
      <w:color w:val="800080"/>
      <w:u w:val="single"/>
    </w:rPr>
  </w:style>
  <w:style w:type="paragraph" w:customStyle="1" w:styleId="Default">
    <w:name w:val="Default"/>
    <w:rsid w:val="00EE701C"/>
    <w:pPr>
      <w:autoSpaceDE w:val="0"/>
      <w:autoSpaceDN w:val="0"/>
      <w:adjustRightInd w:val="0"/>
    </w:pPr>
    <w:rPr>
      <w:rFonts w:ascii="Arial" w:hAnsi="Arial" w:cs="Arial"/>
      <w:color w:val="000000"/>
      <w:sz w:val="24"/>
      <w:szCs w:val="24"/>
    </w:rPr>
  </w:style>
  <w:style w:type="character" w:styleId="Strong">
    <w:name w:val="Strong"/>
    <w:uiPriority w:val="22"/>
    <w:qFormat/>
    <w:rsid w:val="00B95398"/>
    <w:rPr>
      <w:b/>
      <w:bCs/>
    </w:rPr>
  </w:style>
  <w:style w:type="character" w:customStyle="1" w:styleId="Heading2Char">
    <w:name w:val="Heading 2 Char"/>
    <w:link w:val="Heading2"/>
    <w:uiPriority w:val="9"/>
    <w:rsid w:val="00A80AC2"/>
    <w:rPr>
      <w:rFonts w:ascii="Times New Roman" w:eastAsia="Times New Roman" w:hAnsi="Times New Roman"/>
      <w:b/>
      <w:bCs/>
      <w:sz w:val="36"/>
      <w:szCs w:val="36"/>
    </w:rPr>
  </w:style>
  <w:style w:type="character" w:customStyle="1" w:styleId="ilfuvd">
    <w:name w:val="ilfuvd"/>
    <w:rsid w:val="00D11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6078">
      <w:bodyDiv w:val="1"/>
      <w:marLeft w:val="0"/>
      <w:marRight w:val="0"/>
      <w:marTop w:val="0"/>
      <w:marBottom w:val="0"/>
      <w:divBdr>
        <w:top w:val="none" w:sz="0" w:space="0" w:color="auto"/>
        <w:left w:val="none" w:sz="0" w:space="0" w:color="auto"/>
        <w:bottom w:val="none" w:sz="0" w:space="0" w:color="auto"/>
        <w:right w:val="none" w:sz="0" w:space="0" w:color="auto"/>
      </w:divBdr>
      <w:divsChild>
        <w:div w:id="1249845725">
          <w:marLeft w:val="0"/>
          <w:marRight w:val="0"/>
          <w:marTop w:val="0"/>
          <w:marBottom w:val="0"/>
          <w:divBdr>
            <w:top w:val="none" w:sz="0" w:space="0" w:color="auto"/>
            <w:left w:val="none" w:sz="0" w:space="0" w:color="auto"/>
            <w:bottom w:val="none" w:sz="0" w:space="0" w:color="auto"/>
            <w:right w:val="none" w:sz="0" w:space="0" w:color="auto"/>
          </w:divBdr>
          <w:divsChild>
            <w:div w:id="5632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4349">
      <w:bodyDiv w:val="1"/>
      <w:marLeft w:val="0"/>
      <w:marRight w:val="0"/>
      <w:marTop w:val="0"/>
      <w:marBottom w:val="0"/>
      <w:divBdr>
        <w:top w:val="none" w:sz="0" w:space="0" w:color="auto"/>
        <w:left w:val="none" w:sz="0" w:space="0" w:color="auto"/>
        <w:bottom w:val="none" w:sz="0" w:space="0" w:color="auto"/>
        <w:right w:val="none" w:sz="0" w:space="0" w:color="auto"/>
      </w:divBdr>
      <w:divsChild>
        <w:div w:id="244530834">
          <w:marLeft w:val="0"/>
          <w:marRight w:val="0"/>
          <w:marTop w:val="0"/>
          <w:marBottom w:val="0"/>
          <w:divBdr>
            <w:top w:val="none" w:sz="0" w:space="0" w:color="auto"/>
            <w:left w:val="none" w:sz="0" w:space="0" w:color="auto"/>
            <w:bottom w:val="none" w:sz="0" w:space="0" w:color="auto"/>
            <w:right w:val="none" w:sz="0" w:space="0" w:color="auto"/>
          </w:divBdr>
          <w:divsChild>
            <w:div w:id="11303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72103">
      <w:bodyDiv w:val="1"/>
      <w:marLeft w:val="0"/>
      <w:marRight w:val="0"/>
      <w:marTop w:val="0"/>
      <w:marBottom w:val="0"/>
      <w:divBdr>
        <w:top w:val="none" w:sz="0" w:space="0" w:color="auto"/>
        <w:left w:val="none" w:sz="0" w:space="0" w:color="auto"/>
        <w:bottom w:val="none" w:sz="0" w:space="0" w:color="auto"/>
        <w:right w:val="none" w:sz="0" w:space="0" w:color="auto"/>
      </w:divBdr>
      <w:divsChild>
        <w:div w:id="292902968">
          <w:marLeft w:val="0"/>
          <w:marRight w:val="0"/>
          <w:marTop w:val="0"/>
          <w:marBottom w:val="0"/>
          <w:divBdr>
            <w:top w:val="none" w:sz="0" w:space="0" w:color="auto"/>
            <w:left w:val="none" w:sz="0" w:space="0" w:color="auto"/>
            <w:bottom w:val="none" w:sz="0" w:space="0" w:color="auto"/>
            <w:right w:val="none" w:sz="0" w:space="0" w:color="auto"/>
          </w:divBdr>
          <w:divsChild>
            <w:div w:id="19198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global/contact-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article/1202/Records-Management-Code-of-Practice-for-Health-and-Social-Care-201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mc-uk.org/guidance/ethical_guidance/children_guidance_56_63_child_protection.asp" TargetMode="External"/><Relationship Id="rId4" Type="http://schemas.openxmlformats.org/officeDocument/2006/relationships/settings" Target="settings.xml"/><Relationship Id="rId9" Type="http://schemas.openxmlformats.org/officeDocument/2006/relationships/hyperlink" Target="https://midessexccg.nhs.uk/about-us/safeguard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CA905-FFD1-4AD4-99A2-F94EBAF8A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NHS North East Essex</Company>
  <LinksUpToDate>false</LinksUpToDate>
  <CharactersWithSpaces>4537</CharactersWithSpaces>
  <SharedDoc>false</SharedDoc>
  <HLinks>
    <vt:vector size="24" baseType="variant">
      <vt:variant>
        <vt:i4>720923</vt:i4>
      </vt:variant>
      <vt:variant>
        <vt:i4>9</vt:i4>
      </vt:variant>
      <vt:variant>
        <vt:i4>0</vt:i4>
      </vt:variant>
      <vt:variant>
        <vt:i4>5</vt:i4>
      </vt:variant>
      <vt:variant>
        <vt:lpwstr>https://ico.org.uk/global/contact-us/</vt:lpwstr>
      </vt:variant>
      <vt:variant>
        <vt:lpwstr/>
      </vt:variant>
      <vt:variant>
        <vt:i4>6488106</vt:i4>
      </vt:variant>
      <vt:variant>
        <vt:i4>6</vt:i4>
      </vt:variant>
      <vt:variant>
        <vt:i4>0</vt:i4>
      </vt:variant>
      <vt:variant>
        <vt:i4>5</vt:i4>
      </vt:variant>
      <vt:variant>
        <vt:lpwstr>https://digital.nhs.uk/article/1202/Records-Management-Code-of-Practice-for-Health-and-Social-Care-2016</vt:lpwstr>
      </vt:variant>
      <vt:variant>
        <vt:lpwstr/>
      </vt:variant>
      <vt:variant>
        <vt:i4>3407925</vt:i4>
      </vt:variant>
      <vt:variant>
        <vt:i4>3</vt:i4>
      </vt:variant>
      <vt:variant>
        <vt:i4>0</vt:i4>
      </vt:variant>
      <vt:variant>
        <vt:i4>5</vt:i4>
      </vt:variant>
      <vt:variant>
        <vt:lpwstr>https://www.gmc-uk.org/guidance/ethical_guidance/children_guidance_56_63_child_protection.asp</vt:lpwstr>
      </vt:variant>
      <vt:variant>
        <vt:lpwstr/>
      </vt:variant>
      <vt:variant>
        <vt:i4>5963852</vt:i4>
      </vt:variant>
      <vt:variant>
        <vt:i4>0</vt:i4>
      </vt:variant>
      <vt:variant>
        <vt:i4>0</vt:i4>
      </vt:variant>
      <vt:variant>
        <vt:i4>5</vt:i4>
      </vt:variant>
      <vt:variant>
        <vt:lpwstr>https://midessexccg.nhs.uk/about-us/safeguarding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Hendon</dc:creator>
  <cp:keywords/>
  <cp:lastModifiedBy>Amy Griffiths</cp:lastModifiedBy>
  <cp:revision>2</cp:revision>
  <cp:lastPrinted>2015-09-28T15:33:00Z</cp:lastPrinted>
  <dcterms:created xsi:type="dcterms:W3CDTF">2022-07-26T10:23:00Z</dcterms:created>
  <dcterms:modified xsi:type="dcterms:W3CDTF">2022-07-26T10:23:00Z</dcterms:modified>
</cp:coreProperties>
</file>