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rsidTr="001D6101">
        <w:trPr>
          <w:trHeight w:val="2356"/>
        </w:trPr>
        <w:tc>
          <w:tcPr>
            <w:tcW w:w="1994" w:type="dxa"/>
            <w:tcBorders>
              <w:top w:val="nil"/>
              <w:left w:val="nil"/>
              <w:bottom w:val="nil"/>
              <w:right w:val="nil"/>
            </w:tcBorders>
            <w:shd w:val="clear" w:color="auto" w:fill="auto"/>
          </w:tcPr>
          <w:p w:rsidR="00F02521" w:rsidRPr="00E90989" w:rsidRDefault="00F02521" w:rsidP="00E90989">
            <w:pPr>
              <w:spacing w:after="0" w:line="240" w:lineRule="auto"/>
              <w:rPr>
                <w:b/>
              </w:rPr>
            </w:pPr>
            <w:r w:rsidRPr="00E90989">
              <w:rPr>
                <w:b/>
              </w:rPr>
              <w:t xml:space="preserve">Dr. </w:t>
            </w:r>
            <w:r w:rsidR="00463E17">
              <w:rPr>
                <w:b/>
              </w:rPr>
              <w:t>J.P. Hopcroft</w:t>
            </w:r>
          </w:p>
          <w:p w:rsidR="00F02521" w:rsidRPr="00E90989" w:rsidRDefault="00463E17" w:rsidP="00E90989">
            <w:pPr>
              <w:spacing w:after="0" w:line="240" w:lineRule="auto"/>
              <w:rPr>
                <w:b/>
              </w:rPr>
            </w:pPr>
            <w:r>
              <w:rPr>
                <w:b/>
              </w:rPr>
              <w:t>Dr. R.T. Summers</w:t>
            </w:r>
          </w:p>
          <w:p w:rsidR="00F02521" w:rsidRPr="00E90989" w:rsidRDefault="00463E17" w:rsidP="00E90989">
            <w:pPr>
              <w:spacing w:after="0" w:line="240" w:lineRule="auto"/>
              <w:rPr>
                <w:b/>
              </w:rPr>
            </w:pPr>
            <w:r>
              <w:rPr>
                <w:b/>
              </w:rPr>
              <w:t>Dr. C.J. Wright</w:t>
            </w:r>
          </w:p>
          <w:p w:rsidR="00F02521" w:rsidRPr="00E90989" w:rsidRDefault="00463E17" w:rsidP="00E90989">
            <w:pPr>
              <w:spacing w:after="0" w:line="240" w:lineRule="auto"/>
              <w:rPr>
                <w:b/>
              </w:rPr>
            </w:pPr>
            <w:r>
              <w:rPr>
                <w:b/>
              </w:rPr>
              <w:t>Dr. A. Mayet</w:t>
            </w:r>
          </w:p>
          <w:p w:rsidR="00F02521" w:rsidRPr="00E90989" w:rsidRDefault="00463E17" w:rsidP="00E90989">
            <w:pPr>
              <w:spacing w:after="0" w:line="240" w:lineRule="auto"/>
              <w:rPr>
                <w:b/>
              </w:rPr>
            </w:pPr>
            <w:r>
              <w:rPr>
                <w:b/>
              </w:rPr>
              <w:t>Dr. P. Afsar</w:t>
            </w:r>
          </w:p>
          <w:p w:rsidR="00F02521" w:rsidRDefault="00463E17" w:rsidP="00E90989">
            <w:pPr>
              <w:spacing w:after="0" w:line="240" w:lineRule="auto"/>
              <w:rPr>
                <w:b/>
              </w:rPr>
            </w:pPr>
            <w:r>
              <w:rPr>
                <w:b/>
              </w:rPr>
              <w:t>Dr. N. Skaria</w:t>
            </w:r>
          </w:p>
          <w:p w:rsidR="00F02521" w:rsidRDefault="00385D7B" w:rsidP="00E90989">
            <w:pPr>
              <w:spacing w:after="0" w:line="240" w:lineRule="auto"/>
              <w:rPr>
                <w:b/>
              </w:rPr>
            </w:pPr>
            <w:r>
              <w:rPr>
                <w:b/>
              </w:rPr>
              <w:t xml:space="preserve">Dr. </w:t>
            </w:r>
            <w:r w:rsidR="000D3788">
              <w:rPr>
                <w:b/>
              </w:rPr>
              <w:t>G.</w:t>
            </w:r>
            <w:r>
              <w:rPr>
                <w:b/>
              </w:rPr>
              <w:t>Rajarathinam</w:t>
            </w:r>
          </w:p>
          <w:p w:rsidR="001D6101" w:rsidRPr="0086076D" w:rsidRDefault="001D6101" w:rsidP="00E90989">
            <w:pPr>
              <w:spacing w:after="0" w:line="240" w:lineRule="auto"/>
              <w:rPr>
                <w:b/>
              </w:rPr>
            </w:pPr>
            <w:r>
              <w:rPr>
                <w:b/>
              </w:rPr>
              <w:t>Dr. S. Keegan</w:t>
            </w:r>
          </w:p>
        </w:tc>
      </w:tr>
    </w:tbl>
    <w:p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66"/>
      </w:tblGrid>
      <w:tr w:rsidR="002A70C1" w:rsidRPr="00E90989" w:rsidTr="00E90989">
        <w:trPr>
          <w:trHeight w:val="911"/>
        </w:trPr>
        <w:tc>
          <w:tcPr>
            <w:tcW w:w="1916" w:type="dxa"/>
            <w:shd w:val="clear" w:color="auto" w:fill="auto"/>
          </w:tcPr>
          <w:p w:rsidR="002A70C1" w:rsidRPr="00E90989" w:rsidRDefault="00B05802" w:rsidP="00E90989">
            <w:pPr>
              <w:spacing w:after="0" w:line="240" w:lineRule="auto"/>
              <w:jc w:val="center"/>
            </w:pPr>
            <w:r w:rsidRPr="00DF5605">
              <w:rPr>
                <w:noProof/>
                <w:lang w:eastAsia="en-GB"/>
              </w:rPr>
              <w:drawing>
                <wp:inline distT="0" distB="0" distL="0" distR="0">
                  <wp:extent cx="1419225" cy="1095375"/>
                  <wp:effectExtent l="0" t="0" r="9525" b="9525"/>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rsidR="00C966E7" w:rsidRDefault="00B05802" w:rsidP="00C966E7">
      <w:pPr>
        <w:jc w:val="center"/>
        <w:rPr>
          <w:noProof/>
          <w:lang w:eastAsia="en-GB"/>
        </w:rPr>
      </w:pPr>
      <w:r>
        <w:rPr>
          <w:noProof/>
          <w:lang w:eastAsia="en-GB"/>
        </w:rPr>
        <mc:AlternateContent>
          <mc:Choice Requires="wps">
            <w:drawing>
              <wp:inline distT="0" distB="0" distL="0" distR="0">
                <wp:extent cx="4267200" cy="36957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369570"/>
                        </a:xfrm>
                        <a:prstGeom prst="rect">
                          <a:avLst/>
                        </a:prstGeom>
                        <a:noFill/>
                        <a:ln>
                          <a:noFill/>
                        </a:ln>
                        <a:effectLst/>
                      </wps:spPr>
                      <wps:txbx>
                        <w:txbxContent>
                          <w:p w:rsidR="00A80AC2" w:rsidRPr="00E90989" w:rsidRDefault="00A80AC2"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36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" filled="f" stroked="f">
                <v:path arrowok="t"/>
                <v:textbox style="mso-fit-shape-to-text:t">
                  <w:txbxContent>
                    <w:p w:rsidR="00A80AC2" w:rsidRPr="00E90989" w:rsidRDefault="00A80AC2"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w10:anchorlock/>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rsidTr="0086076D">
        <w:trPr>
          <w:trHeight w:val="1784"/>
        </w:trPr>
        <w:tc>
          <w:tcPr>
            <w:tcW w:w="4871" w:type="dxa"/>
            <w:shd w:val="clear" w:color="auto" w:fill="auto"/>
          </w:tcPr>
          <w:p w:rsidR="002A70C1" w:rsidRPr="00E90989" w:rsidRDefault="002A70C1" w:rsidP="00E90989">
            <w:pPr>
              <w:spacing w:after="0" w:line="240" w:lineRule="auto"/>
              <w:jc w:val="center"/>
              <w:rPr>
                <w:b/>
                <w:noProof/>
                <w:lang w:eastAsia="en-GB"/>
              </w:rPr>
            </w:pPr>
          </w:p>
          <w:p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rsidR="00A80AC2" w:rsidRDefault="00A80AC2" w:rsidP="003951F8">
            <w:pPr>
              <w:pStyle w:val="Header"/>
              <w:jc w:val="center"/>
              <w:rPr>
                <w:b/>
                <w:noProof/>
                <w:sz w:val="36"/>
                <w:szCs w:val="36"/>
                <w:lang w:eastAsia="en-GB"/>
              </w:rPr>
            </w:pPr>
            <w:r>
              <w:rPr>
                <w:b/>
                <w:noProof/>
                <w:sz w:val="36"/>
                <w:szCs w:val="36"/>
                <w:lang w:eastAsia="en-GB"/>
              </w:rPr>
              <w:t>Care Planning &amp;</w:t>
            </w:r>
          </w:p>
          <w:p w:rsidR="003951F8" w:rsidRDefault="00CE6ACB" w:rsidP="003951F8">
            <w:pPr>
              <w:pStyle w:val="Header"/>
              <w:jc w:val="center"/>
              <w:rPr>
                <w:b/>
                <w:noProof/>
                <w:sz w:val="36"/>
                <w:szCs w:val="36"/>
                <w:lang w:eastAsia="en-GB"/>
              </w:rPr>
            </w:pPr>
            <w:r>
              <w:rPr>
                <w:b/>
                <w:noProof/>
                <w:sz w:val="36"/>
                <w:szCs w:val="36"/>
                <w:lang w:eastAsia="en-GB"/>
              </w:rPr>
              <w:t>Risk Stratification</w:t>
            </w:r>
          </w:p>
          <w:p w:rsidR="002A70C1" w:rsidRPr="00E90989" w:rsidRDefault="002A70C1" w:rsidP="00E90989">
            <w:pPr>
              <w:spacing w:after="0" w:line="240" w:lineRule="auto"/>
              <w:jc w:val="center"/>
            </w:pPr>
          </w:p>
        </w:tc>
      </w:tr>
    </w:tbl>
    <w:p w:rsidR="00463E17" w:rsidRDefault="0086076D" w:rsidP="00775A90">
      <w:pPr>
        <w:spacing w:after="0"/>
      </w:pPr>
      <w:r>
        <w:t>_______________________________________________________________________________________</w:t>
      </w:r>
    </w:p>
    <w:p w:rsidR="006574D4" w:rsidRDefault="006574D4" w:rsidP="00CE6ACB">
      <w:pPr>
        <w:pStyle w:val="NormalWeb"/>
        <w:spacing w:before="0" w:beforeAutospacing="0" w:after="0" w:afterAutospacing="0"/>
        <w:ind w:left="195" w:hanging="195"/>
        <w:rPr>
          <w:rStyle w:val="Hyperlink"/>
          <w:rFonts w:ascii="Calibri" w:hAnsi="Calibri" w:cs="Calibri"/>
          <w:b/>
          <w:color w:val="auto"/>
          <w:sz w:val="28"/>
          <w:szCs w:val="28"/>
        </w:rPr>
      </w:pPr>
    </w:p>
    <w:p w:rsidR="00CE6ACB" w:rsidRDefault="00CE6ACB" w:rsidP="00CE6ACB">
      <w:pPr>
        <w:pStyle w:val="NormalWeb"/>
        <w:spacing w:before="0" w:beforeAutospacing="0" w:after="0" w:afterAutospacing="0"/>
        <w:ind w:left="195" w:hanging="195"/>
        <w:rPr>
          <w:rStyle w:val="Hyperlink"/>
          <w:rFonts w:ascii="Calibri" w:hAnsi="Calibri" w:cs="Calibri"/>
          <w:b/>
          <w:color w:val="auto"/>
          <w:sz w:val="28"/>
          <w:szCs w:val="28"/>
        </w:rPr>
      </w:pPr>
      <w:r w:rsidRPr="00CE6ACB">
        <w:rPr>
          <w:rStyle w:val="Hyperlink"/>
          <w:rFonts w:ascii="Calibri" w:hAnsi="Calibri" w:cs="Calibri"/>
          <w:b/>
          <w:color w:val="auto"/>
          <w:sz w:val="28"/>
          <w:szCs w:val="28"/>
        </w:rPr>
        <w:t>Identifying patients who might be at risk of certain diseases</w:t>
      </w:r>
    </w:p>
    <w:p w:rsidR="00A80AC2" w:rsidRPr="00A80AC2" w:rsidRDefault="00A80AC2" w:rsidP="00A80AC2">
      <w:pPr>
        <w:jc w:val="both"/>
        <w:rPr>
          <w:rFonts w:cs="Arial"/>
          <w:lang w:val="en-US"/>
        </w:rPr>
      </w:pPr>
    </w:p>
    <w:p w:rsidR="00A80AC2" w:rsidRPr="00CE6ACB" w:rsidRDefault="00A80AC2" w:rsidP="00A80AC2">
      <w:pPr>
        <w:pStyle w:val="NormalWeb"/>
        <w:numPr>
          <w:ilvl w:val="0"/>
          <w:numId w:val="18"/>
        </w:numPr>
        <w:spacing w:before="0" w:beforeAutospacing="0" w:after="0" w:afterAutospacing="0"/>
        <w:ind w:left="1050"/>
        <w:jc w:val="both"/>
        <w:rPr>
          <w:rStyle w:val="Hyperlink"/>
          <w:rFonts w:ascii="Calibri" w:hAnsi="Calibri" w:cs="Calibri"/>
          <w:color w:val="auto"/>
          <w:u w:val="none"/>
        </w:rPr>
      </w:pPr>
      <w:r w:rsidRPr="00CE6ACB">
        <w:rPr>
          <w:rStyle w:val="Hyperlink"/>
          <w:rFonts w:ascii="Calibri" w:hAnsi="Calibri" w:cs="Calibri"/>
          <w:color w:val="auto"/>
          <w:u w:val="none"/>
        </w:rPr>
        <w:t xml:space="preserve">Your medical records will be searched by a computer programme so that we can identify patients who might be at high risk from certain diseases such as heart disease or unplanned admissions to hospital. </w:t>
      </w:r>
    </w:p>
    <w:p w:rsidR="00A80AC2" w:rsidRPr="00CE6ACB" w:rsidRDefault="00A80AC2" w:rsidP="00A80AC2">
      <w:pPr>
        <w:pStyle w:val="NormalWeb"/>
        <w:spacing w:before="0" w:beforeAutospacing="0" w:after="0" w:afterAutospacing="0"/>
        <w:ind w:left="1050"/>
        <w:jc w:val="both"/>
        <w:rPr>
          <w:rStyle w:val="Hyperlink"/>
          <w:rFonts w:ascii="Calibri" w:hAnsi="Calibri" w:cs="Calibri"/>
          <w:color w:val="auto"/>
          <w:u w:val="none"/>
        </w:rPr>
      </w:pPr>
    </w:p>
    <w:p w:rsidR="00A80AC2" w:rsidRPr="00CE6ACB" w:rsidRDefault="00A80AC2" w:rsidP="00A80AC2">
      <w:pPr>
        <w:pStyle w:val="NormalWeb"/>
        <w:numPr>
          <w:ilvl w:val="0"/>
          <w:numId w:val="18"/>
        </w:numPr>
        <w:spacing w:before="0" w:beforeAutospacing="0" w:after="0" w:afterAutospacing="0"/>
        <w:ind w:left="1050"/>
        <w:jc w:val="both"/>
        <w:rPr>
          <w:rStyle w:val="Hyperlink"/>
          <w:rFonts w:ascii="Calibri" w:hAnsi="Calibri" w:cs="Calibri"/>
          <w:color w:val="auto"/>
          <w:u w:val="none"/>
        </w:rPr>
      </w:pPr>
      <w:r w:rsidRPr="00CE6ACB">
        <w:rPr>
          <w:rStyle w:val="Hyperlink"/>
          <w:rFonts w:ascii="Calibri" w:hAnsi="Calibri" w:cs="Calibri"/>
          <w:color w:val="auto"/>
          <w:u w:val="none"/>
        </w:rPr>
        <w:t xml:space="preserve">This means we can offer patients additional care or support as early as possible. </w:t>
      </w:r>
    </w:p>
    <w:p w:rsidR="00A80AC2" w:rsidRPr="00CE6ACB" w:rsidRDefault="00A80AC2" w:rsidP="00A80AC2">
      <w:pPr>
        <w:pStyle w:val="ListParagraph"/>
        <w:jc w:val="both"/>
        <w:rPr>
          <w:rStyle w:val="Hyperlink"/>
          <w:rFonts w:cs="Calibri"/>
          <w:color w:val="auto"/>
          <w:u w:val="none"/>
        </w:rPr>
      </w:pPr>
    </w:p>
    <w:p w:rsidR="00A80AC2" w:rsidRPr="00CE6ACB" w:rsidRDefault="00A80AC2" w:rsidP="00A80AC2">
      <w:pPr>
        <w:pStyle w:val="NormalWeb"/>
        <w:numPr>
          <w:ilvl w:val="0"/>
          <w:numId w:val="18"/>
        </w:numPr>
        <w:spacing w:before="0" w:beforeAutospacing="0" w:after="0" w:afterAutospacing="0"/>
        <w:ind w:left="1050"/>
        <w:jc w:val="both"/>
        <w:rPr>
          <w:rStyle w:val="Hyperlink"/>
          <w:rFonts w:ascii="Calibri" w:hAnsi="Calibri" w:cs="Calibri"/>
          <w:color w:val="auto"/>
          <w:u w:val="none"/>
        </w:rPr>
      </w:pPr>
      <w:r w:rsidRPr="00CE6ACB">
        <w:rPr>
          <w:rStyle w:val="Hyperlink"/>
          <w:rFonts w:ascii="Calibri" w:hAnsi="Calibri" w:cs="Calibri"/>
          <w:color w:val="auto"/>
          <w:u w:val="none"/>
        </w:rPr>
        <w:t xml:space="preserve">This process will involve linking information from your GP record with information from other health or social care services you have used. </w:t>
      </w:r>
    </w:p>
    <w:p w:rsidR="00A80AC2" w:rsidRPr="00CE6ACB" w:rsidRDefault="00A80AC2" w:rsidP="00A80AC2">
      <w:pPr>
        <w:pStyle w:val="NormalWeb"/>
        <w:spacing w:before="0" w:beforeAutospacing="0" w:after="0" w:afterAutospacing="0"/>
        <w:jc w:val="both"/>
        <w:rPr>
          <w:rStyle w:val="Hyperlink"/>
          <w:rFonts w:ascii="Calibri" w:hAnsi="Calibri" w:cs="Calibri"/>
          <w:color w:val="auto"/>
          <w:u w:val="none"/>
        </w:rPr>
      </w:pPr>
    </w:p>
    <w:p w:rsidR="00A80AC2" w:rsidRDefault="00A80AC2" w:rsidP="00A80AC2">
      <w:pPr>
        <w:pStyle w:val="NormalWeb"/>
        <w:numPr>
          <w:ilvl w:val="0"/>
          <w:numId w:val="18"/>
        </w:numPr>
        <w:spacing w:before="0" w:beforeAutospacing="0" w:after="0" w:afterAutospacing="0"/>
        <w:ind w:left="1050"/>
        <w:jc w:val="both"/>
        <w:rPr>
          <w:rStyle w:val="Hyperlink"/>
          <w:rFonts w:ascii="Calibri" w:hAnsi="Calibri" w:cs="Calibri"/>
          <w:color w:val="auto"/>
          <w:u w:val="none"/>
        </w:rPr>
      </w:pPr>
      <w:r w:rsidRPr="00CE6ACB">
        <w:rPr>
          <w:rStyle w:val="Hyperlink"/>
          <w:rFonts w:ascii="Calibri" w:hAnsi="Calibri" w:cs="Calibri"/>
          <w:color w:val="auto"/>
          <w:u w:val="none"/>
        </w:rPr>
        <w:t>Information which identifies you will only be seen by this practice.</w:t>
      </w:r>
    </w:p>
    <w:p w:rsidR="006574D4" w:rsidRDefault="006574D4" w:rsidP="006574D4">
      <w:pPr>
        <w:pStyle w:val="ListParagraph"/>
        <w:rPr>
          <w:rStyle w:val="Hyperlink"/>
          <w:rFonts w:ascii="Calibri" w:hAnsi="Calibri" w:cs="Calibri"/>
          <w:color w:val="auto"/>
          <w:u w:val="none"/>
        </w:rPr>
      </w:pPr>
    </w:p>
    <w:p w:rsidR="006574D4" w:rsidRPr="006574D4" w:rsidRDefault="006574D4" w:rsidP="006574D4">
      <w:pPr>
        <w:pStyle w:val="NormalWeb"/>
        <w:numPr>
          <w:ilvl w:val="0"/>
          <w:numId w:val="18"/>
        </w:numPr>
        <w:spacing w:before="0" w:beforeAutospacing="0" w:after="0" w:afterAutospacing="0"/>
        <w:ind w:left="1050"/>
        <w:jc w:val="both"/>
        <w:rPr>
          <w:rFonts w:ascii="Calibri" w:hAnsi="Calibri" w:cs="Calibri"/>
        </w:rPr>
      </w:pPr>
      <w:r w:rsidRPr="006574D4">
        <w:rPr>
          <w:rFonts w:ascii="Calibri" w:hAnsi="Calibri" w:cs="Arial"/>
          <w:lang w:val="en-US"/>
        </w:rPr>
        <w:t xml:space="preserve">In order to comply with its legal obligations, this practice may send data to NHS Digital when directed by the Secretary of State for Health under the Health and Social Care Act 2012. </w:t>
      </w:r>
    </w:p>
    <w:p w:rsidR="006574D4" w:rsidRDefault="006574D4" w:rsidP="006574D4">
      <w:pPr>
        <w:pStyle w:val="ListParagraph"/>
        <w:rPr>
          <w:rFonts w:ascii="Calibri" w:hAnsi="Calibri" w:cs="Calibri"/>
        </w:rPr>
      </w:pPr>
    </w:p>
    <w:p w:rsidR="006574D4" w:rsidRPr="00CD51A7" w:rsidRDefault="006574D4" w:rsidP="006574D4">
      <w:pPr>
        <w:pStyle w:val="NormalWeb"/>
        <w:numPr>
          <w:ilvl w:val="0"/>
          <w:numId w:val="18"/>
        </w:numPr>
        <w:spacing w:before="0" w:beforeAutospacing="0" w:after="0" w:afterAutospacing="0"/>
        <w:ind w:left="1050"/>
        <w:jc w:val="both"/>
        <w:rPr>
          <w:rFonts w:ascii="Calibri" w:hAnsi="Calibri" w:cs="Calibri"/>
        </w:rPr>
      </w:pPr>
      <w:r w:rsidRPr="006574D4">
        <w:rPr>
          <w:rFonts w:ascii="Calibri" w:hAnsi="Calibri" w:cs="Arial"/>
          <w:lang w:val="en-US"/>
        </w:rPr>
        <w:t xml:space="preserve">Additionally, this practice contributes to national clinical audits and will send the data that is required by NHS Digital when the law allows. This may include demographic data, such as date of birth, and information about your health which is recorded in </w:t>
      </w:r>
      <w:proofErr w:type="gramStart"/>
      <w:r w:rsidRPr="006574D4">
        <w:rPr>
          <w:rFonts w:ascii="Calibri" w:hAnsi="Calibri" w:cs="Arial"/>
          <w:lang w:val="en-US"/>
        </w:rPr>
        <w:t>coded</w:t>
      </w:r>
      <w:proofErr w:type="gramEnd"/>
      <w:r w:rsidRPr="006574D4">
        <w:rPr>
          <w:rFonts w:ascii="Calibri" w:hAnsi="Calibri" w:cs="Arial"/>
          <w:lang w:val="en-US"/>
        </w:rPr>
        <w:t xml:space="preserve"> form; for example, the clinical code for diabetes or high blood pressure.</w:t>
      </w:r>
      <w:r w:rsidRPr="006574D4">
        <w:rPr>
          <w:rFonts w:cs="Calibri"/>
          <w:b/>
          <w:sz w:val="28"/>
          <w:szCs w:val="28"/>
        </w:rPr>
        <w:t xml:space="preserve"> </w:t>
      </w:r>
    </w:p>
    <w:p w:rsidR="00CD51A7" w:rsidRDefault="00CD51A7" w:rsidP="00CD51A7">
      <w:pPr>
        <w:pStyle w:val="ListParagraph"/>
        <w:rPr>
          <w:rFonts w:ascii="Calibri" w:hAnsi="Calibri" w:cs="Calibri"/>
        </w:rPr>
      </w:pPr>
    </w:p>
    <w:p w:rsidR="004414AF" w:rsidRPr="005B66AB" w:rsidRDefault="004414AF" w:rsidP="004414AF">
      <w:pPr>
        <w:pStyle w:val="NormalWeb"/>
        <w:jc w:val="both"/>
        <w:rPr>
          <w:rFonts w:ascii="Calibri" w:hAnsi="Calibri" w:cs="Calibri"/>
          <w:b/>
          <w:sz w:val="28"/>
          <w:szCs w:val="28"/>
          <w:u w:val="single"/>
        </w:rPr>
      </w:pPr>
      <w:r w:rsidRPr="005B66AB">
        <w:rPr>
          <w:rFonts w:ascii="Calibri" w:hAnsi="Calibri"/>
          <w:b/>
          <w:sz w:val="28"/>
          <w:szCs w:val="28"/>
          <w:u w:val="single"/>
          <w:lang w:val="en-US"/>
        </w:rPr>
        <w:t>Risk Stratification</w:t>
      </w:r>
    </w:p>
    <w:p w:rsidR="004414AF" w:rsidRPr="005B66AB" w:rsidRDefault="004414AF" w:rsidP="004414AF">
      <w:pPr>
        <w:spacing w:before="100" w:beforeAutospacing="1" w:after="100" w:afterAutospacing="1" w:line="240" w:lineRule="auto"/>
        <w:jc w:val="both"/>
        <w:rPr>
          <w:rFonts w:eastAsia="Times New Roman"/>
          <w:sz w:val="24"/>
          <w:szCs w:val="24"/>
          <w:lang w:val="en-US" w:eastAsia="en-GB"/>
        </w:rPr>
      </w:pPr>
      <w:r w:rsidRPr="005B66AB">
        <w:rPr>
          <w:rFonts w:eastAsia="Times New Roman"/>
          <w:sz w:val="24"/>
          <w:szCs w:val="24"/>
          <w:lang w:val="en-US" w:eastAsia="en-GB"/>
        </w:rPr>
        <w:t>In 2013 NHS England gained approval from Secretary of State, through the Confidentiality Advisory Group, for its application for the disclosure of commissioning data sets and GP data for risk stratification purposes to data processors working on behalf of GPs.</w:t>
      </w:r>
    </w:p>
    <w:p w:rsidR="004414AF" w:rsidRPr="004414AF" w:rsidRDefault="004414AF" w:rsidP="004414AF">
      <w:pPr>
        <w:spacing w:before="100" w:beforeAutospacing="1" w:after="100" w:afterAutospacing="1" w:line="240" w:lineRule="auto"/>
        <w:jc w:val="both"/>
        <w:rPr>
          <w:rFonts w:eastAsia="Times New Roman" w:cs="Calibri"/>
          <w:sz w:val="24"/>
          <w:szCs w:val="24"/>
          <w:lang w:val="en-US" w:eastAsia="en-GB"/>
        </w:rPr>
      </w:pPr>
      <w:r w:rsidRPr="005B66AB">
        <w:rPr>
          <w:rFonts w:eastAsia="Times New Roman"/>
          <w:sz w:val="24"/>
          <w:szCs w:val="24"/>
          <w:lang w:val="en-US" w:eastAsia="en-GB"/>
        </w:rPr>
        <w:t xml:space="preserve">The application was made by NHS England on behalf of GPs and CCGs, as the relevant data controllers. It will enable GPs, supported by Clinical Commissioning Groups (CCGs), to target specific patient groups and enable clinicians with the duty of care for the patient to offer appropriate </w:t>
      </w:r>
      <w:r w:rsidRPr="005B66AB">
        <w:rPr>
          <w:rFonts w:eastAsia="Times New Roman"/>
          <w:sz w:val="24"/>
          <w:szCs w:val="24"/>
          <w:lang w:val="en-US" w:eastAsia="en-GB"/>
        </w:rPr>
        <w:lastRenderedPageBreak/>
        <w:t>interventions.</w:t>
      </w:r>
      <w:r>
        <w:rPr>
          <w:rFonts w:eastAsia="Times New Roman"/>
          <w:sz w:val="24"/>
          <w:szCs w:val="24"/>
          <w:lang w:val="en-US" w:eastAsia="en-GB"/>
        </w:rPr>
        <w:t xml:space="preserve">  </w:t>
      </w:r>
      <w:r w:rsidRPr="004414AF">
        <w:rPr>
          <w:rFonts w:cs="Calibri"/>
          <w:color w:val="202A30"/>
          <w:sz w:val="24"/>
          <w:szCs w:val="24"/>
          <w:shd w:val="clear" w:color="auto" w:fill="FFFFFF"/>
        </w:rPr>
        <w:t>It will also support Commissioners to understand service use and to target interventions to improve care pathways.</w:t>
      </w:r>
    </w:p>
    <w:p w:rsidR="004414AF" w:rsidRPr="004414AF" w:rsidRDefault="004414AF" w:rsidP="004414AF">
      <w:pPr>
        <w:pStyle w:val="NormalWeb"/>
        <w:shd w:val="clear" w:color="auto" w:fill="FFFFFF"/>
        <w:spacing w:before="0" w:beforeAutospacing="0" w:after="0" w:afterAutospacing="0"/>
        <w:textAlignment w:val="baseline"/>
        <w:rPr>
          <w:rFonts w:ascii="Calibri" w:hAnsi="Calibri" w:cs="Calibri"/>
          <w:color w:val="202A30"/>
        </w:rPr>
      </w:pPr>
      <w:r w:rsidRPr="004414AF">
        <w:rPr>
          <w:rFonts w:ascii="Calibri" w:hAnsi="Calibri" w:cs="Calibri"/>
          <w:color w:val="202A30"/>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w:t>
      </w:r>
      <w:r w:rsidRPr="004414AF">
        <w:rPr>
          <w:rStyle w:val="Strong"/>
          <w:rFonts w:ascii="Calibri" w:hAnsi="Calibri" w:cs="Calibri"/>
          <w:color w:val="202A30"/>
          <w:bdr w:val="none" w:sz="0" w:space="0" w:color="auto" w:frame="1"/>
        </w:rPr>
        <w:t>until the end of September 2022.</w:t>
      </w:r>
    </w:p>
    <w:p w:rsidR="004414AF" w:rsidRPr="004414AF" w:rsidRDefault="004414AF" w:rsidP="004414AF">
      <w:pPr>
        <w:pStyle w:val="NormalWeb"/>
        <w:shd w:val="clear" w:color="auto" w:fill="FFFFFF"/>
        <w:spacing w:before="0" w:beforeAutospacing="0" w:after="0" w:afterAutospacing="0"/>
        <w:textAlignment w:val="baseline"/>
        <w:rPr>
          <w:rFonts w:ascii="Calibri" w:hAnsi="Calibri" w:cs="Calibri"/>
          <w:color w:val="202A30"/>
        </w:rPr>
      </w:pPr>
    </w:p>
    <w:p w:rsidR="004414AF" w:rsidRPr="004414AF" w:rsidRDefault="004414AF" w:rsidP="004414AF">
      <w:pPr>
        <w:pStyle w:val="NormalWeb"/>
        <w:shd w:val="clear" w:color="auto" w:fill="FFFFFF"/>
        <w:spacing w:before="0" w:beforeAutospacing="0" w:after="0" w:afterAutospacing="0"/>
        <w:textAlignment w:val="baseline"/>
        <w:rPr>
          <w:rFonts w:ascii="Calibri" w:hAnsi="Calibri" w:cs="Calibri"/>
          <w:color w:val="202A30"/>
        </w:rPr>
      </w:pPr>
      <w:r w:rsidRPr="004414AF">
        <w:rPr>
          <w:rFonts w:ascii="Calibri" w:hAnsi="Calibri" w:cs="Calibri"/>
          <w:color w:val="202A30"/>
        </w:rPr>
        <w:t>The CAG register can be found on the </w:t>
      </w:r>
      <w:hyperlink r:id="rId9" w:history="1">
        <w:r w:rsidRPr="004414AF">
          <w:rPr>
            <w:rStyle w:val="Hyperlink"/>
            <w:rFonts w:ascii="Calibri" w:hAnsi="Calibri" w:cs="Calibri"/>
            <w:color w:val="005EB8"/>
            <w:bdr w:val="none" w:sz="0" w:space="0" w:color="auto" w:frame="1"/>
          </w:rPr>
          <w:t>NHS Health Research Authority website</w:t>
        </w:r>
      </w:hyperlink>
      <w:r w:rsidRPr="004414AF">
        <w:rPr>
          <w:rFonts w:ascii="Calibri" w:hAnsi="Calibri" w:cs="Calibri"/>
          <w:color w:val="202A30"/>
        </w:rPr>
        <w:t>.</w:t>
      </w:r>
    </w:p>
    <w:p w:rsidR="004414AF" w:rsidRPr="004414AF" w:rsidRDefault="004414AF" w:rsidP="004414AF">
      <w:pPr>
        <w:pStyle w:val="NormalWeb"/>
        <w:shd w:val="clear" w:color="auto" w:fill="FFFFFF"/>
        <w:spacing w:before="0" w:beforeAutospacing="0" w:after="225" w:afterAutospacing="0"/>
        <w:textAlignment w:val="baseline"/>
        <w:rPr>
          <w:rFonts w:ascii="Calibri" w:hAnsi="Calibri" w:cs="Calibri"/>
          <w:color w:val="202A30"/>
        </w:rPr>
      </w:pPr>
      <w:r w:rsidRPr="004414AF">
        <w:rPr>
          <w:rFonts w:ascii="Calibri" w:hAnsi="Calibri" w:cs="Calibri"/>
          <w:color w:val="202A30"/>
        </w:rPr>
        <w:t>NHS England has given an undertaking to the Secretary of State for Health to seek assurance from eligible organisations and to provide a register of approved organisations for the receipt and processing of the patient data for risk stratification. NHS England is seeking assurance from Clinical Commissioning Groups and their appointed risk stratification suppliers that processing of the data is in accordance with the Data Protection Act 2018 and that the conditions set out for processing of personal confidential data are undertaken and maintained.</w:t>
      </w:r>
    </w:p>
    <w:p w:rsidR="004414AF" w:rsidRPr="004414AF" w:rsidRDefault="004414AF" w:rsidP="004414AF">
      <w:pPr>
        <w:pStyle w:val="NormalWeb"/>
        <w:shd w:val="clear" w:color="auto" w:fill="FFFFFF"/>
        <w:spacing w:before="0" w:beforeAutospacing="0" w:after="225" w:afterAutospacing="0"/>
        <w:textAlignment w:val="baseline"/>
        <w:rPr>
          <w:rFonts w:ascii="Calibri" w:hAnsi="Calibri" w:cs="Calibri"/>
          <w:color w:val="202A30"/>
        </w:rPr>
      </w:pPr>
      <w:r w:rsidRPr="004414AF">
        <w:rPr>
          <w:rFonts w:ascii="Calibri" w:hAnsi="Calibri" w:cs="Calibri"/>
          <w:color w:val="202A30"/>
        </w:rPr>
        <w:t xml:space="preserve">This approval applies to the use of GP and Secondary User Services data (including commissioning data processed under CAG 2-03(a)/2013). It does not cover disclosure of social care data for risk stratification. Where social care data are to be used then the relevant parties need to assure themselves there is a legal basis for the disclosure and linkage for this purpose. This can be achieved either by using a third party and </w:t>
      </w:r>
      <w:proofErr w:type="spellStart"/>
      <w:r w:rsidRPr="004414AF">
        <w:rPr>
          <w:rFonts w:ascii="Calibri" w:hAnsi="Calibri" w:cs="Calibri"/>
          <w:color w:val="202A30"/>
        </w:rPr>
        <w:t>pseudonymised</w:t>
      </w:r>
      <w:proofErr w:type="spellEnd"/>
      <w:r w:rsidRPr="004414AF">
        <w:rPr>
          <w:rFonts w:ascii="Calibri" w:hAnsi="Calibri" w:cs="Calibri"/>
          <w:color w:val="202A30"/>
        </w:rPr>
        <w:t xml:space="preserve"> data, or with consent.</w:t>
      </w:r>
    </w:p>
    <w:p w:rsidR="004414AF" w:rsidRPr="004414AF" w:rsidRDefault="004414AF" w:rsidP="004414AF">
      <w:pPr>
        <w:pStyle w:val="NormalWeb"/>
        <w:shd w:val="clear" w:color="auto" w:fill="FFFFFF"/>
        <w:spacing w:before="0" w:beforeAutospacing="0" w:after="0" w:afterAutospacing="0"/>
        <w:textAlignment w:val="baseline"/>
        <w:rPr>
          <w:rFonts w:ascii="Calibri" w:hAnsi="Calibri" w:cs="Calibri"/>
          <w:color w:val="202A30"/>
        </w:rPr>
      </w:pPr>
      <w:r w:rsidRPr="004414AF">
        <w:rPr>
          <w:rFonts w:ascii="Calibri" w:hAnsi="Calibri" w:cs="Calibri"/>
          <w:color w:val="202A30"/>
        </w:rPr>
        <w:t>In order for CCG’s/GP’s to undertake Risk Stratification they must provide assurance to NHS England that they or their risk stratification tool providers meet the CAG approval conditions, as set out in the </w:t>
      </w:r>
      <w:hyperlink r:id="rId10" w:history="1">
        <w:r w:rsidRPr="004414AF">
          <w:rPr>
            <w:rStyle w:val="Hyperlink"/>
            <w:rFonts w:ascii="Calibri" w:hAnsi="Calibri" w:cs="Calibri"/>
            <w:color w:val="005EB8"/>
            <w:bdr w:val="none" w:sz="0" w:space="0" w:color="auto" w:frame="1"/>
          </w:rPr>
          <w:t>Risk Stratification Assurance Statement</w:t>
        </w:r>
      </w:hyperlink>
      <w:r w:rsidRPr="004414AF">
        <w:rPr>
          <w:rFonts w:ascii="Calibri" w:hAnsi="Calibri" w:cs="Calibri"/>
          <w:color w:val="202A30"/>
        </w:rPr>
        <w:t>.</w:t>
      </w:r>
    </w:p>
    <w:p w:rsidR="004414AF" w:rsidRPr="004414AF" w:rsidRDefault="004414AF" w:rsidP="004414AF">
      <w:pPr>
        <w:pStyle w:val="NormalWeb"/>
        <w:shd w:val="clear" w:color="auto" w:fill="FFFFFF"/>
        <w:spacing w:before="0" w:beforeAutospacing="0" w:after="0" w:afterAutospacing="0"/>
        <w:textAlignment w:val="baseline"/>
        <w:rPr>
          <w:rFonts w:ascii="Calibri" w:hAnsi="Calibri" w:cs="Calibri"/>
          <w:color w:val="202A30"/>
        </w:rPr>
      </w:pPr>
    </w:p>
    <w:p w:rsidR="004414AF" w:rsidRPr="004414AF" w:rsidRDefault="004414AF" w:rsidP="004414AF">
      <w:pPr>
        <w:pStyle w:val="NormalWeb"/>
        <w:shd w:val="clear" w:color="auto" w:fill="FFFFFF"/>
        <w:spacing w:before="0" w:beforeAutospacing="0" w:after="0" w:afterAutospacing="0"/>
        <w:textAlignment w:val="baseline"/>
        <w:rPr>
          <w:rFonts w:ascii="Calibri" w:hAnsi="Calibri" w:cs="Calibri"/>
          <w:color w:val="202A30"/>
        </w:rPr>
      </w:pPr>
      <w:r w:rsidRPr="004414AF">
        <w:rPr>
          <w:rFonts w:ascii="Calibri" w:hAnsi="Calibri" w:cs="Calibri"/>
          <w:color w:val="202A30"/>
        </w:rPr>
        <w:t>A documented </w:t>
      </w:r>
      <w:hyperlink r:id="rId11" w:history="1">
        <w:r w:rsidRPr="004414AF">
          <w:rPr>
            <w:rStyle w:val="Hyperlink"/>
            <w:rFonts w:ascii="Calibri" w:hAnsi="Calibri" w:cs="Calibri"/>
            <w:color w:val="005EB8"/>
            <w:bdr w:val="none" w:sz="0" w:space="0" w:color="auto" w:frame="1"/>
          </w:rPr>
          <w:t>Risk Assessment Assurance action plan</w:t>
        </w:r>
      </w:hyperlink>
      <w:r w:rsidRPr="004414AF">
        <w:rPr>
          <w:rFonts w:ascii="Calibri" w:hAnsi="Calibri" w:cs="Calibri"/>
          <w:color w:val="202A30"/>
        </w:rPr>
        <w:t> should be completed to demonstrate evidence of implementation of the requests.</w:t>
      </w:r>
    </w:p>
    <w:p w:rsidR="004414AF" w:rsidRPr="004414AF" w:rsidRDefault="004414AF" w:rsidP="004414AF">
      <w:pPr>
        <w:pStyle w:val="NormalWeb"/>
        <w:shd w:val="clear" w:color="auto" w:fill="FFFFFF"/>
        <w:spacing w:before="0" w:beforeAutospacing="0" w:after="0" w:afterAutospacing="0"/>
        <w:textAlignment w:val="baseline"/>
        <w:rPr>
          <w:rFonts w:ascii="Calibri" w:hAnsi="Calibri" w:cs="Calibri"/>
          <w:color w:val="202A30"/>
        </w:rPr>
      </w:pPr>
      <w:r w:rsidRPr="004414AF">
        <w:rPr>
          <w:rStyle w:val="Strong"/>
          <w:rFonts w:ascii="Calibri" w:hAnsi="Calibri" w:cs="Calibri"/>
          <w:color w:val="202A30"/>
          <w:bdr w:val="none" w:sz="0" w:space="0" w:color="auto" w:frame="1"/>
        </w:rPr>
        <w:t>Please note:</w:t>
      </w:r>
      <w:r w:rsidRPr="004414AF">
        <w:rPr>
          <w:rFonts w:ascii="Calibri" w:hAnsi="Calibri" w:cs="Calibri"/>
          <w:color w:val="202A30"/>
        </w:rPr>
        <w:t> that the risk stratification suppliers included in the ‘List of risk stratification approved organisations’ document below are those that are allowed to use the Section 251 CAG 7-04(a)/2013 application. Under the application they have a lawful basis for appropriate data use, provided that the conditions of processing are met. The document does not form a list of risk stratification suppliers endorsed by NHS England.</w:t>
      </w:r>
    </w:p>
    <w:p w:rsidR="004414AF" w:rsidRPr="004414AF" w:rsidRDefault="004414AF" w:rsidP="004414AF">
      <w:pPr>
        <w:pStyle w:val="Heading3"/>
        <w:shd w:val="clear" w:color="auto" w:fill="FFFFFF"/>
        <w:spacing w:before="120" w:after="120"/>
        <w:textAlignment w:val="baseline"/>
        <w:rPr>
          <w:rFonts w:ascii="Calibri" w:hAnsi="Calibri" w:cs="Calibri"/>
          <w:color w:val="003087"/>
          <w:sz w:val="24"/>
          <w:szCs w:val="24"/>
        </w:rPr>
      </w:pPr>
      <w:r w:rsidRPr="004414AF">
        <w:rPr>
          <w:rFonts w:ascii="Calibri" w:hAnsi="Calibri" w:cs="Calibri"/>
          <w:color w:val="003087"/>
          <w:sz w:val="24"/>
          <w:szCs w:val="24"/>
        </w:rPr>
        <w:t>Related documents</w:t>
      </w:r>
    </w:p>
    <w:p w:rsidR="004414AF" w:rsidRPr="004414AF" w:rsidRDefault="004414AF" w:rsidP="004414AF">
      <w:pPr>
        <w:numPr>
          <w:ilvl w:val="0"/>
          <w:numId w:val="19"/>
        </w:numPr>
        <w:shd w:val="clear" w:color="auto" w:fill="FFFFFF"/>
        <w:spacing w:after="0" w:line="240" w:lineRule="auto"/>
        <w:ind w:left="285"/>
        <w:textAlignment w:val="baseline"/>
        <w:rPr>
          <w:rFonts w:cs="Calibri"/>
          <w:color w:val="202A30"/>
          <w:sz w:val="24"/>
          <w:szCs w:val="24"/>
        </w:rPr>
      </w:pPr>
      <w:hyperlink r:id="rId12" w:history="1">
        <w:r w:rsidRPr="004414AF">
          <w:rPr>
            <w:rStyle w:val="Hyperlink"/>
            <w:rFonts w:cs="Calibri"/>
            <w:color w:val="005EB8"/>
            <w:sz w:val="24"/>
            <w:szCs w:val="24"/>
            <w:bdr w:val="none" w:sz="0" w:space="0" w:color="auto" w:frame="1"/>
          </w:rPr>
          <w:t>List of risk stratification approved organisations*</w:t>
        </w:r>
      </w:hyperlink>
      <w:r w:rsidRPr="004414AF">
        <w:rPr>
          <w:rFonts w:cs="Calibri"/>
          <w:color w:val="202A30"/>
          <w:sz w:val="24"/>
          <w:szCs w:val="24"/>
        </w:rPr>
        <w:t> (updated monthly)</w:t>
      </w:r>
    </w:p>
    <w:p w:rsidR="004414AF" w:rsidRPr="004414AF" w:rsidRDefault="004414AF" w:rsidP="004414AF">
      <w:pPr>
        <w:rPr>
          <w:rFonts w:cs="Calibri"/>
          <w:color w:val="215868"/>
          <w:sz w:val="24"/>
          <w:szCs w:val="24"/>
          <w:lang w:val="en-US"/>
        </w:rPr>
      </w:pPr>
    </w:p>
    <w:p w:rsidR="004414AF" w:rsidRPr="004414AF" w:rsidRDefault="004414AF" w:rsidP="004414AF">
      <w:pPr>
        <w:rPr>
          <w:rFonts w:cs="Calibri"/>
          <w:color w:val="215868"/>
          <w:sz w:val="24"/>
          <w:szCs w:val="24"/>
          <w:lang w:val="en-US"/>
        </w:rPr>
      </w:pPr>
      <w:r>
        <w:rPr>
          <w:rFonts w:ascii="Segoe UI" w:hAnsi="Segoe UI" w:cs="Segoe UI"/>
          <w:color w:val="202A30"/>
          <w:sz w:val="27"/>
          <w:szCs w:val="27"/>
          <w:shd w:val="clear" w:color="auto" w:fill="FFFFFF"/>
        </w:rPr>
        <w:t>*This a list of the CCGs approved to use the application and this will list (a) the risk stratification supplier approved to use the application they are using and (b) the DSCRO they are working with. You will find the list of suppliers approved to use the application in the latest version of the assurance statement.</w:t>
      </w:r>
    </w:p>
    <w:p w:rsidR="004414AF" w:rsidRPr="005B66AB" w:rsidRDefault="004414AF" w:rsidP="004414AF">
      <w:pPr>
        <w:pStyle w:val="NormalWeb"/>
        <w:rPr>
          <w:rFonts w:ascii="Calibri" w:hAnsi="Calibri"/>
          <w:sz w:val="20"/>
          <w:szCs w:val="20"/>
          <w:lang w:val="en-US"/>
        </w:rPr>
      </w:pPr>
      <w:r w:rsidRPr="005B66AB">
        <w:rPr>
          <w:rFonts w:ascii="Calibri" w:hAnsi="Calibri"/>
          <w:lang w:val="en-US"/>
        </w:rPr>
        <w:t xml:space="preserve">If you have any queries relating to the above, please email them to </w:t>
      </w:r>
      <w:hyperlink r:id="rId13" w:history="1">
        <w:r w:rsidRPr="005B66AB">
          <w:rPr>
            <w:rStyle w:val="Hyperlink"/>
            <w:rFonts w:ascii="Calibri" w:hAnsi="Calibri"/>
            <w:sz w:val="20"/>
            <w:szCs w:val="20"/>
            <w:lang w:val="en-US"/>
          </w:rPr>
          <w:t>england.riskstratassurance@nhs.net</w:t>
        </w:r>
      </w:hyperlink>
    </w:p>
    <w:p w:rsidR="004414AF" w:rsidRPr="004414AF" w:rsidRDefault="004414AF" w:rsidP="004414AF">
      <w:pPr>
        <w:rPr>
          <w:rFonts w:cs="Calibri"/>
          <w:b/>
          <w:bCs/>
          <w:sz w:val="24"/>
          <w:szCs w:val="24"/>
          <w:u w:val="single"/>
          <w:lang w:eastAsia="en-GB"/>
        </w:rPr>
      </w:pPr>
      <w:r w:rsidRPr="004414AF">
        <w:rPr>
          <w:rFonts w:cs="Calibri"/>
          <w:b/>
          <w:bCs/>
          <w:sz w:val="24"/>
          <w:szCs w:val="24"/>
          <w:lang w:eastAsia="en-GB"/>
        </w:rPr>
        <w:t xml:space="preserve">For further information visit </w:t>
      </w:r>
      <w:hyperlink r:id="rId14" w:tooltip="Risk stratification" w:history="1">
        <w:r w:rsidRPr="004414AF">
          <w:rPr>
            <w:rStyle w:val="Hyperlink"/>
            <w:rFonts w:cs="Calibri"/>
            <w:b/>
            <w:bCs/>
            <w:sz w:val="24"/>
            <w:szCs w:val="24"/>
            <w:lang w:eastAsia="en-GB"/>
          </w:rPr>
          <w:t>https://www.england.nhs.uk/ig/risk-stratification/</w:t>
        </w:r>
      </w:hyperlink>
    </w:p>
    <w:p w:rsidR="00A80AC2" w:rsidRPr="005B66AB" w:rsidRDefault="00A80AC2" w:rsidP="00A80AC2">
      <w:pPr>
        <w:pStyle w:val="NormalWeb"/>
        <w:rPr>
          <w:rFonts w:ascii="Calibri" w:hAnsi="Calibri"/>
          <w:sz w:val="20"/>
          <w:szCs w:val="20"/>
          <w:lang w:val="en-US"/>
        </w:rPr>
      </w:pPr>
    </w:p>
    <w:p w:rsidR="00A80AC2" w:rsidRDefault="00A80AC2" w:rsidP="00CE6ACB">
      <w:pPr>
        <w:rPr>
          <w:rFonts w:ascii="Arial" w:hAnsi="Arial" w:cs="Arial"/>
          <w:color w:val="215868"/>
          <w:lang w:val="en-US"/>
        </w:rPr>
      </w:pPr>
    </w:p>
    <w:p w:rsidR="00B95398" w:rsidRPr="000A1085" w:rsidRDefault="00B95398" w:rsidP="00B95398">
      <w:pPr>
        <w:rPr>
          <w:rFonts w:cs="Calibri"/>
          <w:sz w:val="24"/>
          <w:szCs w:val="24"/>
        </w:rPr>
      </w:pPr>
      <w:r w:rsidRPr="000A1085">
        <w:rPr>
          <w:rFonts w:cs="Calibri"/>
          <w:sz w:val="24"/>
          <w:szCs w:val="24"/>
        </w:rPr>
        <w:lastRenderedPageBreak/>
        <w:t>We are required by law to provide you with the following information about how we handle 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95398" w:rsidRPr="000A1085" w:rsidTr="000A1085">
        <w:tc>
          <w:tcPr>
            <w:tcW w:w="2405" w:type="dxa"/>
            <w:shd w:val="clear" w:color="auto" w:fill="auto"/>
          </w:tcPr>
          <w:p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 xml:space="preserve">Data Controller </w:t>
            </w:r>
            <w:r w:rsidRPr="000A1085">
              <w:rPr>
                <w:rFonts w:cs="Calibri"/>
                <w:color w:val="000000"/>
                <w:sz w:val="24"/>
                <w:szCs w:val="24"/>
                <w:lang w:eastAsia="en-GB"/>
              </w:rPr>
              <w:t>contact details</w:t>
            </w:r>
          </w:p>
          <w:p w:rsidR="00B95398" w:rsidRPr="000A1085" w:rsidRDefault="00B95398" w:rsidP="000A1085">
            <w:pPr>
              <w:rPr>
                <w:rFonts w:cs="Calibri"/>
                <w:b/>
                <w:color w:val="000000"/>
                <w:sz w:val="24"/>
                <w:szCs w:val="24"/>
                <w:lang w:eastAsia="en-GB"/>
              </w:rPr>
            </w:pPr>
          </w:p>
        </w:tc>
        <w:tc>
          <w:tcPr>
            <w:tcW w:w="6611" w:type="dxa"/>
            <w:shd w:val="clear" w:color="auto" w:fill="auto"/>
          </w:tcPr>
          <w:p w:rsidR="00B95398" w:rsidRPr="000A1085" w:rsidRDefault="00B95398" w:rsidP="000A1085">
            <w:pPr>
              <w:rPr>
                <w:rFonts w:cs="Calibri"/>
                <w:sz w:val="24"/>
                <w:szCs w:val="24"/>
                <w:lang w:eastAsia="en-GB"/>
              </w:rPr>
            </w:pPr>
            <w:r w:rsidRPr="000A1085">
              <w:rPr>
                <w:rFonts w:cs="Calibri"/>
                <w:sz w:val="24"/>
                <w:szCs w:val="24"/>
                <w:lang w:eastAsia="en-GB"/>
              </w:rPr>
              <w:t xml:space="preserve">Fern House Surgery, 125 – 129 Newland Street, Witham, Essex CM8 1BH </w:t>
            </w:r>
          </w:p>
          <w:p w:rsidR="00B95398" w:rsidRPr="000A1085" w:rsidRDefault="00B95398" w:rsidP="000A1085">
            <w:pPr>
              <w:rPr>
                <w:rFonts w:cs="Calibri"/>
                <w:sz w:val="24"/>
                <w:szCs w:val="24"/>
              </w:rPr>
            </w:pPr>
          </w:p>
        </w:tc>
      </w:tr>
      <w:tr w:rsidR="00B95398" w:rsidRPr="000A1085" w:rsidTr="000A1085">
        <w:tc>
          <w:tcPr>
            <w:tcW w:w="2405" w:type="dxa"/>
            <w:shd w:val="clear" w:color="auto" w:fill="auto"/>
          </w:tcPr>
          <w:p w:rsidR="00B95398" w:rsidRPr="000A1085" w:rsidRDefault="00B95398" w:rsidP="000A1085">
            <w:pPr>
              <w:rPr>
                <w:rFonts w:cs="Calibri"/>
                <w:color w:val="000000"/>
                <w:sz w:val="24"/>
                <w:szCs w:val="24"/>
                <w:lang w:eastAsia="en-GB"/>
              </w:rPr>
            </w:pPr>
            <w:r w:rsidRPr="000A1085">
              <w:rPr>
                <w:rFonts w:cs="Calibri"/>
                <w:b/>
                <w:color w:val="000000"/>
                <w:sz w:val="24"/>
                <w:szCs w:val="24"/>
                <w:lang w:eastAsia="en-GB"/>
              </w:rPr>
              <w:t xml:space="preserve">Data Protection Officer </w:t>
            </w:r>
            <w:r w:rsidRPr="000A1085">
              <w:rPr>
                <w:rFonts w:cs="Calibri"/>
                <w:color w:val="000000"/>
                <w:sz w:val="24"/>
                <w:szCs w:val="24"/>
                <w:lang w:eastAsia="en-GB"/>
              </w:rPr>
              <w:t>contact details</w:t>
            </w:r>
          </w:p>
          <w:p w:rsidR="00B95398" w:rsidRPr="000A1085" w:rsidRDefault="00B95398" w:rsidP="000A1085">
            <w:pPr>
              <w:rPr>
                <w:rFonts w:cs="Calibri"/>
                <w:sz w:val="24"/>
                <w:szCs w:val="24"/>
              </w:rPr>
            </w:pPr>
          </w:p>
        </w:tc>
        <w:tc>
          <w:tcPr>
            <w:tcW w:w="6611" w:type="dxa"/>
            <w:shd w:val="clear" w:color="auto" w:fill="auto"/>
          </w:tcPr>
          <w:p w:rsidR="00B95398" w:rsidRPr="000A1085" w:rsidRDefault="00B95398" w:rsidP="000A1085">
            <w:pPr>
              <w:rPr>
                <w:rFonts w:cs="Calibri"/>
                <w:sz w:val="24"/>
                <w:szCs w:val="24"/>
                <w:lang w:eastAsia="en-GB"/>
              </w:rPr>
            </w:pPr>
            <w:r w:rsidRPr="000A1085">
              <w:rPr>
                <w:rFonts w:cs="Calibri"/>
                <w:sz w:val="24"/>
                <w:szCs w:val="24"/>
                <w:lang w:eastAsia="en-GB"/>
              </w:rPr>
              <w:t xml:space="preserve">Information Governance Lead, Fern House Surgery, 125 – 129 Newland Street, Witham, Essex CM8 1BH </w:t>
            </w:r>
          </w:p>
          <w:p w:rsidR="00B95398" w:rsidRPr="000A1085" w:rsidRDefault="00B95398" w:rsidP="000A1085">
            <w:pPr>
              <w:rPr>
                <w:rFonts w:cs="Calibri"/>
                <w:sz w:val="24"/>
                <w:szCs w:val="24"/>
              </w:rPr>
            </w:pPr>
          </w:p>
        </w:tc>
      </w:tr>
      <w:tr w:rsidR="00B95398" w:rsidRPr="000A1085" w:rsidTr="000A1085">
        <w:tc>
          <w:tcPr>
            <w:tcW w:w="2405" w:type="dxa"/>
            <w:shd w:val="clear" w:color="auto" w:fill="auto"/>
          </w:tcPr>
          <w:p w:rsidR="00B95398" w:rsidRPr="000A1085" w:rsidRDefault="00B95398" w:rsidP="000A1085">
            <w:pPr>
              <w:rPr>
                <w:rFonts w:cs="Calibri"/>
                <w:sz w:val="24"/>
                <w:szCs w:val="24"/>
              </w:rPr>
            </w:pPr>
            <w:r w:rsidRPr="000A1085">
              <w:rPr>
                <w:rFonts w:cs="Calibri"/>
                <w:b/>
                <w:color w:val="000000"/>
                <w:sz w:val="24"/>
                <w:szCs w:val="24"/>
                <w:lang w:eastAsia="en-GB"/>
              </w:rPr>
              <w:t>Purpose</w:t>
            </w:r>
            <w:r w:rsidRPr="000A1085">
              <w:rPr>
                <w:rFonts w:cs="Calibri"/>
                <w:color w:val="000000"/>
                <w:sz w:val="24"/>
                <w:szCs w:val="24"/>
                <w:lang w:eastAsia="en-GB"/>
              </w:rPr>
              <w:t xml:space="preserve"> of the processing</w:t>
            </w:r>
          </w:p>
          <w:p w:rsidR="00B95398" w:rsidRPr="000A1085" w:rsidRDefault="00B95398" w:rsidP="000A1085">
            <w:pPr>
              <w:rPr>
                <w:rFonts w:cs="Calibri"/>
                <w:sz w:val="24"/>
                <w:szCs w:val="24"/>
              </w:rPr>
            </w:pPr>
          </w:p>
        </w:tc>
        <w:tc>
          <w:tcPr>
            <w:tcW w:w="6611" w:type="dxa"/>
            <w:shd w:val="clear" w:color="auto" w:fill="auto"/>
          </w:tcPr>
          <w:p w:rsidR="00CD51A7" w:rsidRPr="00CD51A7" w:rsidRDefault="00B95398" w:rsidP="00CD51A7">
            <w:pPr>
              <w:jc w:val="both"/>
              <w:rPr>
                <w:rFonts w:cs="Arial"/>
                <w:sz w:val="24"/>
                <w:szCs w:val="24"/>
                <w:lang w:val="en-US"/>
              </w:rPr>
            </w:pPr>
            <w:r w:rsidRPr="000A1085">
              <w:rPr>
                <w:rFonts w:cs="Calibri"/>
                <w:color w:val="000000"/>
                <w:lang w:eastAsia="en-GB"/>
              </w:rPr>
              <w:t>To check and review the quality of care. (This is called audit and clinical governance).</w:t>
            </w:r>
            <w:r w:rsidR="006574D4">
              <w:rPr>
                <w:rFonts w:cs="Calibri"/>
                <w:color w:val="000000"/>
                <w:lang w:eastAsia="en-GB"/>
              </w:rPr>
              <w:t xml:space="preserve"> </w:t>
            </w:r>
            <w:r w:rsidR="00CD51A7" w:rsidRPr="00CD51A7">
              <w:rPr>
                <w:rFonts w:cs="Arial"/>
                <w:sz w:val="24"/>
                <w:szCs w:val="24"/>
                <w:lang w:val="en-US"/>
              </w:rPr>
              <w:t>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Fern House Surgery; this information is processed electronically and given a risk score which is relayed to your GP who can then decide on any necessary actions to ensure that you receive the most appropriate care.</w:t>
            </w:r>
          </w:p>
          <w:p w:rsidR="00B95398" w:rsidRPr="000A1085" w:rsidRDefault="006574D4" w:rsidP="006574D4">
            <w:pPr>
              <w:pStyle w:val="ListParagraph"/>
              <w:ind w:left="0"/>
              <w:contextualSpacing/>
              <w:jc w:val="both"/>
              <w:rPr>
                <w:rFonts w:ascii="Calibri" w:hAnsi="Calibri" w:cs="Calibri"/>
              </w:rPr>
            </w:pPr>
            <w:r w:rsidRPr="005B66AB">
              <w:rPr>
                <w:rFonts w:ascii="Calibri" w:hAnsi="Calibri"/>
                <w:lang w:eastAsia="en-GB"/>
              </w:rPr>
              <w:t>The information that is shared is to enable other healthcare workers to provide the most appropriate advice, investigations, treatments, therapies and care.</w:t>
            </w:r>
            <w:r w:rsidRPr="00D954BE">
              <w:t xml:space="preserve"> </w:t>
            </w:r>
            <w:r w:rsidRPr="005B66AB">
              <w:rPr>
                <w:rFonts w:ascii="Calibri" w:hAnsi="Calibri"/>
              </w:rPr>
              <w:t>Your records may be amongst those searched. This is often called “risk stratification” or “case finding”</w:t>
            </w:r>
          </w:p>
        </w:tc>
      </w:tr>
      <w:tr w:rsidR="00B95398" w:rsidRPr="000A1085" w:rsidTr="000A1085">
        <w:trPr>
          <w:trHeight w:val="4552"/>
        </w:trPr>
        <w:tc>
          <w:tcPr>
            <w:tcW w:w="2405" w:type="dxa"/>
            <w:shd w:val="clear" w:color="auto" w:fill="auto"/>
          </w:tcPr>
          <w:p w:rsidR="00B95398" w:rsidRPr="000A1085" w:rsidRDefault="00B95398" w:rsidP="000A1085">
            <w:pPr>
              <w:rPr>
                <w:rFonts w:cs="Calibri"/>
                <w:sz w:val="24"/>
                <w:szCs w:val="24"/>
              </w:rPr>
            </w:pPr>
            <w:r w:rsidRPr="000A1085">
              <w:rPr>
                <w:rFonts w:cs="Calibri"/>
                <w:b/>
                <w:color w:val="000000"/>
                <w:sz w:val="24"/>
                <w:szCs w:val="24"/>
                <w:lang w:eastAsia="en-GB"/>
              </w:rPr>
              <w:t>Lawful basis</w:t>
            </w:r>
            <w:r w:rsidRPr="000A1085">
              <w:rPr>
                <w:rFonts w:cs="Calibri"/>
                <w:color w:val="000000"/>
                <w:sz w:val="24"/>
                <w:szCs w:val="24"/>
                <w:lang w:eastAsia="en-GB"/>
              </w:rPr>
              <w:t xml:space="preserve"> for processing</w:t>
            </w:r>
          </w:p>
          <w:p w:rsidR="00B95398" w:rsidRPr="000A1085" w:rsidRDefault="00B95398" w:rsidP="000A1085">
            <w:pPr>
              <w:rPr>
                <w:rFonts w:cs="Calibri"/>
                <w:sz w:val="24"/>
                <w:szCs w:val="24"/>
              </w:rPr>
            </w:pPr>
          </w:p>
        </w:tc>
        <w:tc>
          <w:tcPr>
            <w:tcW w:w="6611" w:type="dxa"/>
            <w:shd w:val="clear" w:color="auto" w:fill="auto"/>
          </w:tcPr>
          <w:p w:rsidR="00B95398" w:rsidRPr="000A1085" w:rsidRDefault="00B95398" w:rsidP="000A1085">
            <w:pPr>
              <w:rPr>
                <w:rFonts w:cs="Calibri"/>
                <w:color w:val="000000"/>
                <w:sz w:val="24"/>
                <w:szCs w:val="24"/>
                <w:lang w:eastAsia="en-GB"/>
              </w:rPr>
            </w:pPr>
            <w:r w:rsidRPr="000A1085">
              <w:rPr>
                <w:rFonts w:cs="Calibri"/>
                <w:sz w:val="24"/>
                <w:szCs w:val="24"/>
              </w:rPr>
              <w:t xml:space="preserve">These purposes are </w:t>
            </w:r>
            <w:r w:rsidRPr="000A1085">
              <w:rPr>
                <w:rFonts w:cs="Calibri"/>
                <w:color w:val="000000"/>
                <w:sz w:val="24"/>
                <w:szCs w:val="24"/>
                <w:lang w:eastAsia="en-GB"/>
              </w:rPr>
              <w:t>supported under the following sections of the GDPR:</w:t>
            </w:r>
          </w:p>
          <w:p w:rsidR="00B95398" w:rsidRPr="000A1085" w:rsidRDefault="00B95398" w:rsidP="000A1085">
            <w:pPr>
              <w:ind w:left="720"/>
              <w:rPr>
                <w:rFonts w:cs="Calibri"/>
                <w:i/>
                <w:sz w:val="24"/>
                <w:szCs w:val="24"/>
              </w:rPr>
            </w:pPr>
            <w:r w:rsidRPr="000A1085">
              <w:rPr>
                <w:rFonts w:cs="Calibri"/>
                <w:i/>
                <w:color w:val="000000"/>
                <w:sz w:val="24"/>
                <w:szCs w:val="24"/>
                <w:lang w:eastAsia="en-GB"/>
              </w:rPr>
              <w:t xml:space="preserve">Article </w:t>
            </w:r>
            <w:r w:rsidRPr="000A1085">
              <w:rPr>
                <w:rFonts w:cs="Calibri"/>
                <w:i/>
                <w:sz w:val="24"/>
                <w:szCs w:val="24"/>
              </w:rPr>
              <w:t xml:space="preserve">6(1)(e) ‘…necessary for the performance of a task carried out in the public interest or in the exercise of official authority…’; and </w:t>
            </w:r>
          </w:p>
          <w:p w:rsidR="00B95398" w:rsidRPr="000A1085" w:rsidRDefault="00B95398" w:rsidP="000A1085">
            <w:pPr>
              <w:ind w:left="720"/>
              <w:rPr>
                <w:rFonts w:cs="Calibri"/>
                <w:i/>
                <w:color w:val="000000"/>
                <w:sz w:val="24"/>
                <w:szCs w:val="24"/>
              </w:rPr>
            </w:pPr>
            <w:r w:rsidRPr="000A1085">
              <w:rPr>
                <w:rFonts w:cs="Calibri"/>
                <w:i/>
                <w:color w:val="000000"/>
                <w:sz w:val="24"/>
                <w:szCs w:val="24"/>
                <w:lang w:eastAsia="en-GB"/>
              </w:rPr>
              <w:t>Article 9(2)(h)</w:t>
            </w:r>
            <w:r w:rsidRPr="000A1085">
              <w:rPr>
                <w:rFonts w:cs="Calibri"/>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B95398" w:rsidRPr="000A1085" w:rsidRDefault="00B95398" w:rsidP="000A1085">
            <w:pPr>
              <w:rPr>
                <w:rFonts w:cs="Calibri"/>
                <w:sz w:val="24"/>
                <w:szCs w:val="24"/>
              </w:rPr>
            </w:pPr>
            <w:r w:rsidRPr="000A1085">
              <w:rPr>
                <w:rFonts w:cs="Calibri"/>
                <w:color w:val="000000"/>
                <w:sz w:val="24"/>
                <w:szCs w:val="24"/>
              </w:rPr>
              <w:t>Healthcare staff will also respect and comply with their obligations under the common law duty of confidence.</w:t>
            </w:r>
          </w:p>
        </w:tc>
      </w:tr>
      <w:tr w:rsidR="00B95398" w:rsidRPr="000A1085" w:rsidTr="000A1085">
        <w:tc>
          <w:tcPr>
            <w:tcW w:w="2405" w:type="dxa"/>
            <w:shd w:val="clear" w:color="auto" w:fill="auto"/>
          </w:tcPr>
          <w:p w:rsidR="00B95398" w:rsidRPr="000A1085" w:rsidRDefault="00B95398" w:rsidP="000A1085">
            <w:pPr>
              <w:rPr>
                <w:rFonts w:cs="Calibri"/>
                <w:color w:val="000000"/>
                <w:sz w:val="24"/>
                <w:szCs w:val="24"/>
                <w:lang w:eastAsia="en-GB"/>
              </w:rPr>
            </w:pPr>
            <w:r w:rsidRPr="000A1085">
              <w:rPr>
                <w:rFonts w:cs="Calibri"/>
                <w:b/>
                <w:color w:val="000000"/>
                <w:sz w:val="24"/>
                <w:szCs w:val="24"/>
                <w:lang w:eastAsia="en-GB"/>
              </w:rPr>
              <w:t xml:space="preserve">Recipient or categories of </w:t>
            </w:r>
            <w:r w:rsidRPr="000A1085">
              <w:rPr>
                <w:rFonts w:cs="Calibri"/>
                <w:b/>
                <w:color w:val="000000"/>
                <w:sz w:val="24"/>
                <w:szCs w:val="24"/>
                <w:lang w:eastAsia="en-GB"/>
              </w:rPr>
              <w:lastRenderedPageBreak/>
              <w:t xml:space="preserve">recipients </w:t>
            </w:r>
            <w:r w:rsidRPr="000A1085">
              <w:rPr>
                <w:rFonts w:cs="Calibri"/>
                <w:color w:val="000000"/>
                <w:sz w:val="24"/>
                <w:szCs w:val="24"/>
                <w:lang w:eastAsia="en-GB"/>
              </w:rPr>
              <w:t>of the processed data</w:t>
            </w:r>
          </w:p>
          <w:p w:rsidR="00B95398" w:rsidRPr="000A1085" w:rsidRDefault="00B95398" w:rsidP="000A1085">
            <w:pPr>
              <w:rPr>
                <w:rFonts w:cs="Calibri"/>
                <w:sz w:val="24"/>
                <w:szCs w:val="24"/>
              </w:rPr>
            </w:pPr>
          </w:p>
        </w:tc>
        <w:tc>
          <w:tcPr>
            <w:tcW w:w="6611" w:type="dxa"/>
            <w:shd w:val="clear" w:color="auto" w:fill="auto"/>
          </w:tcPr>
          <w:p w:rsidR="00B95398" w:rsidRPr="000A1085" w:rsidRDefault="00B95398" w:rsidP="000A1085">
            <w:pPr>
              <w:rPr>
                <w:rFonts w:cs="Calibri"/>
                <w:color w:val="000000"/>
                <w:sz w:val="24"/>
                <w:szCs w:val="24"/>
                <w:lang w:eastAsia="en-GB"/>
              </w:rPr>
            </w:pPr>
            <w:r w:rsidRPr="000A1085">
              <w:rPr>
                <w:rFonts w:cs="Calibri"/>
                <w:color w:val="000000"/>
                <w:sz w:val="24"/>
                <w:szCs w:val="24"/>
                <w:lang w:eastAsia="en-GB"/>
              </w:rPr>
              <w:lastRenderedPageBreak/>
              <w:t xml:space="preserve">The data will be shared </w:t>
            </w:r>
            <w:r w:rsidR="006574D4">
              <w:rPr>
                <w:rFonts w:cs="Calibri"/>
                <w:color w:val="000000"/>
                <w:sz w:val="24"/>
                <w:szCs w:val="24"/>
                <w:lang w:eastAsia="en-GB"/>
              </w:rPr>
              <w:t xml:space="preserve">for processing </w:t>
            </w:r>
            <w:r w:rsidRPr="000A1085">
              <w:rPr>
                <w:rFonts w:cs="Calibri"/>
                <w:color w:val="000000"/>
                <w:sz w:val="24"/>
                <w:szCs w:val="24"/>
                <w:lang w:eastAsia="en-GB"/>
              </w:rPr>
              <w:t xml:space="preserve">with: </w:t>
            </w:r>
          </w:p>
          <w:p w:rsidR="006574D4" w:rsidRDefault="006574D4" w:rsidP="000A1085">
            <w:pPr>
              <w:pStyle w:val="ListParagraph"/>
              <w:numPr>
                <w:ilvl w:val="0"/>
                <w:numId w:val="14"/>
              </w:numPr>
              <w:contextualSpacing/>
              <w:rPr>
                <w:rFonts w:ascii="Calibri" w:hAnsi="Calibri" w:cs="Calibri"/>
                <w:color w:val="000000"/>
                <w:lang w:eastAsia="en-GB"/>
              </w:rPr>
            </w:pPr>
            <w:r w:rsidRPr="006574D4">
              <w:rPr>
                <w:rFonts w:ascii="Calibri" w:hAnsi="Calibri" w:cs="Calibri"/>
                <w:color w:val="000000"/>
                <w:lang w:eastAsia="en-GB"/>
              </w:rPr>
              <w:t>NHS Digital</w:t>
            </w:r>
          </w:p>
          <w:p w:rsidR="00B95398" w:rsidRPr="006574D4" w:rsidRDefault="006574D4" w:rsidP="000A1085">
            <w:pPr>
              <w:pStyle w:val="ListParagraph"/>
              <w:numPr>
                <w:ilvl w:val="0"/>
                <w:numId w:val="14"/>
              </w:numPr>
              <w:contextualSpacing/>
              <w:rPr>
                <w:rFonts w:ascii="Calibri" w:hAnsi="Calibri" w:cs="Calibri"/>
                <w:color w:val="000000"/>
                <w:lang w:eastAsia="en-GB"/>
              </w:rPr>
            </w:pPr>
            <w:r>
              <w:rPr>
                <w:rFonts w:ascii="Calibri" w:hAnsi="Calibri" w:cs="Calibri"/>
                <w:color w:val="000000"/>
                <w:lang w:eastAsia="en-GB"/>
              </w:rPr>
              <w:t>NHS England</w:t>
            </w:r>
          </w:p>
          <w:p w:rsidR="00B95398" w:rsidRPr="000A1085" w:rsidRDefault="00ED3BBA" w:rsidP="000A1085">
            <w:pPr>
              <w:pStyle w:val="ListParagraph"/>
              <w:numPr>
                <w:ilvl w:val="0"/>
                <w:numId w:val="14"/>
              </w:numPr>
              <w:contextualSpacing/>
              <w:rPr>
                <w:rFonts w:ascii="Calibri" w:hAnsi="Calibri" w:cs="Calibri"/>
                <w:color w:val="000000"/>
                <w:lang w:eastAsia="en-GB"/>
              </w:rPr>
            </w:pPr>
            <w:r>
              <w:rPr>
                <w:rFonts w:ascii="Calibri" w:hAnsi="Calibri" w:cs="Calibri"/>
                <w:color w:val="000000"/>
                <w:lang w:eastAsia="en-GB"/>
              </w:rPr>
              <w:lastRenderedPageBreak/>
              <w:t xml:space="preserve">the </w:t>
            </w:r>
            <w:r w:rsidR="006574D4">
              <w:rPr>
                <w:rFonts w:ascii="Calibri" w:hAnsi="Calibri" w:cs="Calibri"/>
                <w:color w:val="000000"/>
                <w:lang w:eastAsia="en-GB"/>
              </w:rPr>
              <w:t>CCG; and</w:t>
            </w:r>
          </w:p>
          <w:p w:rsidR="006574D4" w:rsidRPr="00476DC7" w:rsidRDefault="006574D4" w:rsidP="000A1085">
            <w:pPr>
              <w:pStyle w:val="ListParagraph"/>
              <w:numPr>
                <w:ilvl w:val="0"/>
                <w:numId w:val="14"/>
              </w:numPr>
              <w:contextualSpacing/>
              <w:rPr>
                <w:rFonts w:ascii="Calibri" w:hAnsi="Calibri" w:cs="Calibri"/>
                <w:color w:val="000000"/>
                <w:lang w:eastAsia="en-GB"/>
              </w:rPr>
            </w:pPr>
            <w:r w:rsidRPr="006574D4">
              <w:rPr>
                <w:rFonts w:ascii="Calibri" w:hAnsi="Calibri" w:cs="Calibri"/>
                <w:color w:val="000000"/>
                <w:lang w:eastAsia="en-GB"/>
              </w:rPr>
              <w:t>subsequent healthcare providers</w:t>
            </w:r>
            <w:r w:rsidR="00B95398" w:rsidRPr="006574D4">
              <w:rPr>
                <w:rFonts w:ascii="Calibri" w:hAnsi="Calibri" w:cs="Calibri"/>
                <w:color w:val="000000"/>
                <w:lang w:eastAsia="en-GB"/>
              </w:rPr>
              <w:t xml:space="preserve"> </w:t>
            </w:r>
          </w:p>
        </w:tc>
      </w:tr>
      <w:tr w:rsidR="00B95398" w:rsidRPr="000A1085" w:rsidTr="000A1085">
        <w:tc>
          <w:tcPr>
            <w:tcW w:w="2405" w:type="dxa"/>
            <w:shd w:val="clear" w:color="auto" w:fill="auto"/>
          </w:tcPr>
          <w:p w:rsidR="00B95398" w:rsidRPr="000A1085" w:rsidRDefault="00B95398" w:rsidP="000A1085">
            <w:pPr>
              <w:rPr>
                <w:rFonts w:cs="Calibri"/>
                <w:sz w:val="24"/>
                <w:szCs w:val="24"/>
              </w:rPr>
            </w:pPr>
            <w:r w:rsidRPr="000A1085">
              <w:rPr>
                <w:rFonts w:cs="Calibri"/>
                <w:b/>
                <w:color w:val="000000"/>
                <w:sz w:val="24"/>
                <w:szCs w:val="24"/>
                <w:lang w:eastAsia="en-GB"/>
              </w:rPr>
              <w:lastRenderedPageBreak/>
              <w:t>Rights to object</w:t>
            </w:r>
          </w:p>
          <w:p w:rsidR="00B95398" w:rsidRPr="000A1085" w:rsidRDefault="00B95398" w:rsidP="000A1085">
            <w:pPr>
              <w:rPr>
                <w:rFonts w:cs="Calibri"/>
                <w:sz w:val="24"/>
                <w:szCs w:val="24"/>
              </w:rPr>
            </w:pPr>
          </w:p>
        </w:tc>
        <w:tc>
          <w:tcPr>
            <w:tcW w:w="6611" w:type="dxa"/>
            <w:shd w:val="clear" w:color="auto" w:fill="auto"/>
          </w:tcPr>
          <w:p w:rsidR="00B95398" w:rsidRPr="000A1085" w:rsidRDefault="00B95398" w:rsidP="000A1085">
            <w:pPr>
              <w:pStyle w:val="ListParagraph"/>
              <w:numPr>
                <w:ilvl w:val="0"/>
                <w:numId w:val="17"/>
              </w:numPr>
              <w:contextualSpacing/>
              <w:rPr>
                <w:rFonts w:ascii="Calibri" w:hAnsi="Calibri" w:cs="Calibri"/>
                <w:color w:val="000000"/>
                <w:lang w:eastAsia="en-GB"/>
              </w:rPr>
            </w:pPr>
            <w:r w:rsidRPr="000A1085">
              <w:rPr>
                <w:rFonts w:ascii="Calibri" w:hAnsi="Calibri" w:cs="Calibri"/>
                <w:color w:val="000000"/>
                <w:lang w:eastAsia="en-GB"/>
              </w:rPr>
              <w:t xml:space="preserve">You have the right to object to information being shared between those who are providing you with direct care. </w:t>
            </w:r>
          </w:p>
          <w:p w:rsidR="00B95398" w:rsidRPr="00831324" w:rsidRDefault="00B95398" w:rsidP="000A1085">
            <w:pPr>
              <w:pStyle w:val="ListParagraph"/>
              <w:numPr>
                <w:ilvl w:val="0"/>
                <w:numId w:val="17"/>
              </w:numPr>
              <w:contextualSpacing/>
              <w:rPr>
                <w:rFonts w:ascii="Calibri" w:hAnsi="Calibri" w:cs="Calibri"/>
                <w:color w:val="000000"/>
                <w:lang w:eastAsia="en-GB"/>
              </w:rPr>
            </w:pPr>
            <w:r w:rsidRPr="000A1085">
              <w:rPr>
                <w:rFonts w:ascii="Calibri" w:hAnsi="Calibri" w:cs="Calibri"/>
                <w:color w:val="000000"/>
                <w:lang w:eastAsia="en-GB"/>
              </w:rPr>
              <w:t xml:space="preserve">This may affect the care you receive – </w:t>
            </w:r>
            <w:r w:rsidR="004414AF" w:rsidRPr="00831324">
              <w:rPr>
                <w:rFonts w:ascii="Calibri" w:hAnsi="Calibri" w:cs="Calibri"/>
              </w:rPr>
              <w:t>If you do not wish information about you to be included in the risk stratification programme, please let us know. We can add a code to your records that will stop your information from being used for this purpose.  P</w:t>
            </w:r>
            <w:r w:rsidRPr="00831324">
              <w:rPr>
                <w:rFonts w:ascii="Calibri" w:hAnsi="Calibri" w:cs="Calibri"/>
                <w:color w:val="000000"/>
                <w:lang w:eastAsia="en-GB"/>
              </w:rPr>
              <w:t xml:space="preserve">lease </w:t>
            </w:r>
            <w:r w:rsidR="004414AF" w:rsidRPr="00831324">
              <w:rPr>
                <w:rFonts w:ascii="Calibri" w:hAnsi="Calibri" w:cs="Calibri"/>
                <w:color w:val="000000"/>
                <w:lang w:eastAsia="en-GB"/>
              </w:rPr>
              <w:t>contact the surgery</w:t>
            </w:r>
            <w:r w:rsidRPr="00831324">
              <w:rPr>
                <w:rFonts w:ascii="Calibri" w:hAnsi="Calibri" w:cs="Calibri"/>
                <w:color w:val="000000"/>
                <w:lang w:eastAsia="en-GB"/>
              </w:rPr>
              <w:t>.</w:t>
            </w:r>
          </w:p>
          <w:p w:rsidR="00B95398" w:rsidRPr="000A1085" w:rsidRDefault="00B95398" w:rsidP="000A1085">
            <w:pPr>
              <w:pStyle w:val="ListParagraph"/>
              <w:numPr>
                <w:ilvl w:val="0"/>
                <w:numId w:val="15"/>
              </w:numPr>
              <w:contextualSpacing/>
              <w:rPr>
                <w:rFonts w:ascii="Calibri" w:hAnsi="Calibri" w:cs="Calibri"/>
                <w:color w:val="000000"/>
                <w:lang w:eastAsia="en-GB"/>
              </w:rPr>
            </w:pPr>
            <w:r w:rsidRPr="000A1085">
              <w:rPr>
                <w:rFonts w:ascii="Calibri" w:hAnsi="Calibri" w:cs="Calibri"/>
                <w:color w:val="000000"/>
                <w:lang w:eastAsia="en-GB"/>
              </w:rPr>
              <w:t xml:space="preserve">You are not able to object to your name, address and other demographic information being sent to NHS Digital. </w:t>
            </w:r>
          </w:p>
          <w:p w:rsidR="00B95398" w:rsidRPr="000A1085" w:rsidRDefault="00B95398" w:rsidP="000A1085">
            <w:pPr>
              <w:pStyle w:val="ListParagraph"/>
              <w:numPr>
                <w:ilvl w:val="0"/>
                <w:numId w:val="15"/>
              </w:numPr>
              <w:contextualSpacing/>
              <w:rPr>
                <w:rFonts w:ascii="Calibri" w:hAnsi="Calibri" w:cs="Calibri"/>
                <w:color w:val="000000"/>
                <w:lang w:eastAsia="en-GB"/>
              </w:rPr>
            </w:pPr>
            <w:r w:rsidRPr="000A1085">
              <w:rPr>
                <w:rFonts w:ascii="Calibri" w:hAnsi="Calibri" w:cs="Calibri"/>
                <w:color w:val="000000"/>
                <w:lang w:eastAsia="en-GB"/>
              </w:rPr>
              <w:t>This is necessary if you wish to be registered to receive NHS care.</w:t>
            </w:r>
          </w:p>
          <w:p w:rsidR="00B95398" w:rsidRPr="000A1085" w:rsidRDefault="00B95398" w:rsidP="000A1085">
            <w:pPr>
              <w:pStyle w:val="ListParagraph"/>
              <w:numPr>
                <w:ilvl w:val="0"/>
                <w:numId w:val="15"/>
              </w:numPr>
              <w:contextualSpacing/>
              <w:rPr>
                <w:rFonts w:ascii="Calibri" w:hAnsi="Calibri" w:cs="Calibri"/>
              </w:rPr>
            </w:pPr>
            <w:r w:rsidRPr="000A1085">
              <w:rPr>
                <w:rFonts w:ascii="Calibri" w:hAnsi="Calibri" w:cs="Calibri"/>
              </w:rPr>
              <w:t xml:space="preserve">You are not able to object when information is legitimately shared for safeguarding reasons. </w:t>
            </w:r>
          </w:p>
          <w:p w:rsidR="00B95398" w:rsidRPr="000A1085" w:rsidRDefault="00B95398" w:rsidP="000A1085">
            <w:pPr>
              <w:pStyle w:val="ListParagraph"/>
              <w:numPr>
                <w:ilvl w:val="0"/>
                <w:numId w:val="15"/>
              </w:numPr>
              <w:contextualSpacing/>
              <w:rPr>
                <w:rFonts w:ascii="Calibri" w:hAnsi="Calibri" w:cs="Calibri"/>
              </w:rPr>
            </w:pPr>
            <w:r w:rsidRPr="000A1085">
              <w:rPr>
                <w:rFonts w:ascii="Calibri" w:hAnsi="Calibri" w:cs="Calibri"/>
              </w:rPr>
              <w:t xml:space="preserve">In appropriate circumstances it is a legal and professional requirement to share information for safeguarding reasons. This is to protect people from harm. </w:t>
            </w:r>
          </w:p>
          <w:p w:rsidR="00B95398" w:rsidRPr="000A1085" w:rsidRDefault="00B95398" w:rsidP="000A1085">
            <w:pPr>
              <w:pStyle w:val="ListParagraph"/>
              <w:contextualSpacing/>
              <w:rPr>
                <w:rFonts w:ascii="Calibri" w:hAnsi="Calibri" w:cs="Calibri"/>
              </w:rPr>
            </w:pPr>
          </w:p>
        </w:tc>
      </w:tr>
      <w:tr w:rsidR="00B95398" w:rsidRPr="000A1085" w:rsidTr="000A1085">
        <w:tc>
          <w:tcPr>
            <w:tcW w:w="2405" w:type="dxa"/>
            <w:shd w:val="clear" w:color="auto" w:fill="auto"/>
          </w:tcPr>
          <w:p w:rsidR="00B95398" w:rsidRPr="000A1085" w:rsidRDefault="00B95398" w:rsidP="000A1085">
            <w:pPr>
              <w:rPr>
                <w:rFonts w:cs="Calibri"/>
                <w:sz w:val="24"/>
                <w:szCs w:val="24"/>
              </w:rPr>
            </w:pPr>
            <w:r w:rsidRPr="000A1085">
              <w:rPr>
                <w:rFonts w:cs="Calibri"/>
                <w:b/>
                <w:color w:val="000000"/>
                <w:sz w:val="24"/>
                <w:szCs w:val="24"/>
                <w:lang w:eastAsia="en-GB"/>
              </w:rPr>
              <w:t>Right to access and correct</w:t>
            </w:r>
          </w:p>
        </w:tc>
        <w:tc>
          <w:tcPr>
            <w:tcW w:w="6611" w:type="dxa"/>
            <w:shd w:val="clear" w:color="auto" w:fill="auto"/>
          </w:tcPr>
          <w:p w:rsidR="00B95398" w:rsidRPr="00CD51A7" w:rsidRDefault="00B95398" w:rsidP="00476DC7">
            <w:pPr>
              <w:pStyle w:val="ListParagraph"/>
              <w:ind w:left="0"/>
              <w:contextualSpacing/>
              <w:rPr>
                <w:color w:val="000000"/>
                <w:lang w:eastAsia="en-GB"/>
              </w:rPr>
            </w:pPr>
            <w:r w:rsidRPr="000A1085">
              <w:rPr>
                <w:rFonts w:ascii="Calibri" w:hAnsi="Calibri" w:cs="Calibri"/>
                <w:color w:val="000000"/>
                <w:lang w:eastAsia="en-GB"/>
              </w:rPr>
              <w:t xml:space="preserve">You have the right to access your medical record and have any errors or mistakes corrected. </w:t>
            </w:r>
            <w:r w:rsidRPr="000A1085">
              <w:rPr>
                <w:rFonts w:ascii="Calibri" w:hAnsi="Calibri" w:cs="Calibri"/>
                <w:lang w:eastAsia="en-GB"/>
              </w:rPr>
              <w:t>I</w:t>
            </w:r>
            <w:proofErr w:type="spellStart"/>
            <w:r w:rsidRPr="000A1085">
              <w:rPr>
                <w:rFonts w:ascii="Calibri" w:hAnsi="Calibri" w:cs="Arial"/>
                <w:lang w:val="en-US"/>
              </w:rPr>
              <w:t>f</w:t>
            </w:r>
            <w:proofErr w:type="spellEnd"/>
            <w:r w:rsidRPr="000A1085">
              <w:rPr>
                <w:rFonts w:ascii="Calibri" w:hAnsi="Calibri" w:cs="Arial"/>
                <w:lang w:val="en-US"/>
              </w:rPr>
              <w:t xml:space="preserve"> you would like to access this information, you will need to complete a Subject Access Request (SAR). Please ask at reception for a SAR form</w:t>
            </w:r>
            <w:r w:rsidR="00310DB8">
              <w:rPr>
                <w:rFonts w:ascii="Calibri" w:hAnsi="Calibri" w:cs="Arial"/>
                <w:lang w:val="en-US"/>
              </w:rPr>
              <w:t>.</w:t>
            </w:r>
            <w:r w:rsidR="00476DC7">
              <w:rPr>
                <w:rFonts w:ascii="Calibri" w:hAnsi="Calibri" w:cs="Arial"/>
                <w:lang w:val="en-US"/>
              </w:rPr>
              <w:t xml:space="preserve">  </w:t>
            </w:r>
            <w:r w:rsidRPr="003C3D86">
              <w:rPr>
                <w:rFonts w:ascii="Calibri" w:hAnsi="Calibri"/>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B95398" w:rsidRPr="000A1085" w:rsidTr="000A1085">
        <w:tc>
          <w:tcPr>
            <w:tcW w:w="2405" w:type="dxa"/>
            <w:shd w:val="clear" w:color="auto" w:fill="auto"/>
          </w:tcPr>
          <w:p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Retention period</w:t>
            </w:r>
          </w:p>
          <w:p w:rsidR="00B95398" w:rsidRPr="000A1085" w:rsidRDefault="00B95398" w:rsidP="000A1085">
            <w:pPr>
              <w:rPr>
                <w:rFonts w:cs="Calibri"/>
                <w:sz w:val="24"/>
                <w:szCs w:val="24"/>
              </w:rPr>
            </w:pPr>
          </w:p>
        </w:tc>
        <w:tc>
          <w:tcPr>
            <w:tcW w:w="6611" w:type="dxa"/>
            <w:shd w:val="clear" w:color="auto" w:fill="auto"/>
          </w:tcPr>
          <w:p w:rsidR="00B95398" w:rsidRPr="000A1085" w:rsidRDefault="00B95398" w:rsidP="000A1085">
            <w:pPr>
              <w:rPr>
                <w:rFonts w:cs="Calibri"/>
                <w:color w:val="0000FF"/>
                <w:sz w:val="24"/>
                <w:szCs w:val="24"/>
                <w:u w:val="single"/>
                <w:lang w:eastAsia="en-GB"/>
              </w:rPr>
            </w:pPr>
            <w:r w:rsidRPr="000A1085">
              <w:rPr>
                <w:rFonts w:cs="Calibri"/>
                <w:color w:val="000000"/>
                <w:sz w:val="24"/>
                <w:szCs w:val="24"/>
                <w:lang w:eastAsia="en-GB"/>
              </w:rPr>
              <w:t xml:space="preserve">GP medical records will be kept in line with the law and national guidance. Information on how long records are kept can be found at: </w:t>
            </w:r>
            <w:hyperlink r:id="rId15" w:tooltip="Record retention period" w:history="1">
              <w:r w:rsidRPr="000A1085">
                <w:rPr>
                  <w:rStyle w:val="Hyperlink"/>
                  <w:rFonts w:cs="Calibri"/>
                  <w:sz w:val="24"/>
                  <w:szCs w:val="24"/>
                  <w:lang w:eastAsia="en-GB"/>
                </w:rPr>
                <w:t>https://digital.nhs.uk/article/1202/Records-Management-Code-of-Practice-for-Health-and-Social-Care-2016</w:t>
              </w:r>
            </w:hyperlink>
            <w:r w:rsidRPr="000A1085">
              <w:rPr>
                <w:rStyle w:val="Hyperlink"/>
                <w:rFonts w:cs="Calibri"/>
                <w:sz w:val="24"/>
                <w:szCs w:val="24"/>
                <w:lang w:eastAsia="en-GB"/>
              </w:rPr>
              <w:t xml:space="preserve"> </w:t>
            </w:r>
          </w:p>
        </w:tc>
      </w:tr>
      <w:tr w:rsidR="00B95398" w:rsidRPr="000A1085" w:rsidTr="000A1085">
        <w:tc>
          <w:tcPr>
            <w:tcW w:w="2405" w:type="dxa"/>
            <w:shd w:val="clear" w:color="auto" w:fill="auto"/>
          </w:tcPr>
          <w:p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Right to complain</w:t>
            </w:r>
          </w:p>
          <w:p w:rsidR="00B95398" w:rsidRPr="000A1085" w:rsidRDefault="00B95398" w:rsidP="000A1085">
            <w:pPr>
              <w:rPr>
                <w:rFonts w:cs="Calibri"/>
                <w:sz w:val="24"/>
                <w:szCs w:val="24"/>
              </w:rPr>
            </w:pPr>
          </w:p>
        </w:tc>
        <w:tc>
          <w:tcPr>
            <w:tcW w:w="6611" w:type="dxa"/>
            <w:shd w:val="clear" w:color="auto" w:fill="auto"/>
          </w:tcPr>
          <w:p w:rsidR="00B95398" w:rsidRPr="00CD51A7" w:rsidRDefault="00B95398" w:rsidP="000A1085">
            <w:pPr>
              <w:rPr>
                <w:bCs/>
                <w:sz w:val="24"/>
                <w:szCs w:val="24"/>
              </w:rPr>
            </w:pPr>
            <w:r w:rsidRPr="000A1085">
              <w:rPr>
                <w:rFonts w:cs="Calibri"/>
                <w:color w:val="000000"/>
                <w:sz w:val="24"/>
                <w:szCs w:val="24"/>
                <w:lang w:eastAsia="en-GB"/>
              </w:rPr>
              <w:t>You have the right to complain to the Information Commissioner’s Office. If you wish to complain follow this link</w:t>
            </w:r>
            <w:r w:rsidRPr="000A1085">
              <w:rPr>
                <w:rFonts w:cs="Calibri"/>
                <w:sz w:val="24"/>
                <w:szCs w:val="24"/>
              </w:rPr>
              <w:t xml:space="preserve"> </w:t>
            </w:r>
            <w:hyperlink r:id="rId16" w:tooltip="Information Commissioner’s Office" w:history="1">
              <w:r w:rsidRPr="000A1085">
                <w:rPr>
                  <w:rStyle w:val="Hyperlink"/>
                  <w:rFonts w:cs="Calibri"/>
                  <w:sz w:val="24"/>
                  <w:szCs w:val="24"/>
                  <w:lang w:eastAsia="en-GB"/>
                </w:rPr>
                <w:t>https://ico.org.uk/global/contact-us/</w:t>
              </w:r>
            </w:hyperlink>
            <w:bookmarkStart w:id="0" w:name="_GoBack"/>
            <w:bookmarkEnd w:id="0"/>
            <w:r w:rsidRPr="000A1085">
              <w:rPr>
                <w:rStyle w:val="Hyperlink"/>
                <w:rFonts w:cs="Calibri"/>
                <w:sz w:val="24"/>
                <w:szCs w:val="24"/>
                <w:lang w:eastAsia="en-GB"/>
              </w:rPr>
              <w:t xml:space="preserve"> or call the helpline </w:t>
            </w:r>
            <w:r w:rsidRPr="000A1085">
              <w:rPr>
                <w:rStyle w:val="Strong"/>
                <w:sz w:val="24"/>
                <w:szCs w:val="24"/>
              </w:rPr>
              <w:t>0303 123 1113</w:t>
            </w:r>
          </w:p>
        </w:tc>
      </w:tr>
      <w:tr w:rsidR="00B95398" w:rsidRPr="000A1085" w:rsidTr="000A1085">
        <w:tc>
          <w:tcPr>
            <w:tcW w:w="2405" w:type="dxa"/>
            <w:shd w:val="clear" w:color="auto" w:fill="auto"/>
          </w:tcPr>
          <w:p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Data we get from other organisations</w:t>
            </w:r>
          </w:p>
        </w:tc>
        <w:tc>
          <w:tcPr>
            <w:tcW w:w="6611" w:type="dxa"/>
            <w:shd w:val="clear" w:color="auto" w:fill="auto"/>
          </w:tcPr>
          <w:p w:rsidR="00B95398" w:rsidRPr="000A1085" w:rsidRDefault="00B95398" w:rsidP="00476DC7">
            <w:pPr>
              <w:jc w:val="both"/>
              <w:rPr>
                <w:rFonts w:cs="Calibri"/>
                <w:color w:val="000000"/>
                <w:sz w:val="24"/>
                <w:szCs w:val="24"/>
                <w:lang w:eastAsia="en-GB"/>
              </w:rPr>
            </w:pPr>
            <w:r w:rsidRPr="000A1085">
              <w:rPr>
                <w:rFonts w:cs="Calibri"/>
                <w:color w:val="000000"/>
                <w:sz w:val="24"/>
                <w:szCs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8B28A6" w:rsidRPr="004414AF" w:rsidRDefault="008B28A6" w:rsidP="004414AF">
      <w:pPr>
        <w:rPr>
          <w:b/>
          <w:bCs/>
          <w:iCs/>
          <w:color w:val="1F497D"/>
          <w:sz w:val="24"/>
          <w:szCs w:val="24"/>
          <w:lang w:eastAsia="en-GB"/>
        </w:rPr>
      </w:pPr>
    </w:p>
    <w:sectPr w:rsidR="008B28A6" w:rsidRPr="004414AF" w:rsidSect="003951F8">
      <w:footerReference w:type="default" r:id="rId17"/>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9D0" w:rsidRDefault="00F429D0" w:rsidP="00C17D56">
      <w:pPr>
        <w:spacing w:after="0" w:line="240" w:lineRule="auto"/>
      </w:pPr>
      <w:r>
        <w:separator/>
      </w:r>
    </w:p>
  </w:endnote>
  <w:endnote w:type="continuationSeparator" w:id="0">
    <w:p w:rsidR="00F429D0" w:rsidRDefault="00F429D0"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C2" w:rsidRDefault="00A80AC2" w:rsidP="00C17D56">
    <w:pPr>
      <w:pStyle w:val="Footer"/>
      <w:jc w:val="center"/>
      <w:rPr>
        <w:sz w:val="14"/>
        <w:szCs w:val="14"/>
      </w:rPr>
    </w:pPr>
  </w:p>
  <w:p w:rsidR="00A80AC2" w:rsidRDefault="00A80AC2" w:rsidP="00C17D56">
    <w:pPr>
      <w:pStyle w:val="Footer"/>
      <w:spacing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9D0" w:rsidRDefault="00F429D0" w:rsidP="00C17D56">
      <w:pPr>
        <w:spacing w:after="0" w:line="240" w:lineRule="auto"/>
      </w:pPr>
      <w:r>
        <w:separator/>
      </w:r>
    </w:p>
  </w:footnote>
  <w:footnote w:type="continuationSeparator" w:id="0">
    <w:p w:rsidR="00F429D0" w:rsidRDefault="00F429D0" w:rsidP="00C17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F1D2D"/>
    <w:multiLevelType w:val="multilevel"/>
    <w:tmpl w:val="160E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4"/>
  </w:num>
  <w:num w:numId="5">
    <w:abstractNumId w:val="5"/>
  </w:num>
  <w:num w:numId="6">
    <w:abstractNumId w:val="1"/>
    <w:lvlOverride w:ilvl="0"/>
    <w:lvlOverride w:ilvl="1"/>
    <w:lvlOverride w:ilvl="2"/>
    <w:lvlOverride w:ilvl="3"/>
    <w:lvlOverride w:ilvl="4"/>
    <w:lvlOverride w:ilvl="5"/>
    <w:lvlOverride w:ilvl="6"/>
    <w:lvlOverride w:ilvl="7"/>
    <w:lvlOverride w:ilvl="8"/>
  </w:num>
  <w:num w:numId="7">
    <w:abstractNumId w:val="1"/>
  </w:num>
  <w:num w:numId="8">
    <w:abstractNumId w:val="11"/>
  </w:num>
  <w:num w:numId="9">
    <w:abstractNumId w:val="17"/>
  </w:num>
  <w:num w:numId="10">
    <w:abstractNumId w:val="13"/>
  </w:num>
  <w:num w:numId="11">
    <w:abstractNumId w:val="14"/>
  </w:num>
  <w:num w:numId="12">
    <w:abstractNumId w:val="15"/>
  </w:num>
  <w:num w:numId="13">
    <w:abstractNumId w:val="12"/>
  </w:num>
  <w:num w:numId="14">
    <w:abstractNumId w:val="6"/>
  </w:num>
  <w:num w:numId="15">
    <w:abstractNumId w:val="0"/>
  </w:num>
  <w:num w:numId="16">
    <w:abstractNumId w:val="16"/>
  </w:num>
  <w:num w:numId="17">
    <w:abstractNumId w:val="2"/>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E7"/>
    <w:rsid w:val="00031462"/>
    <w:rsid w:val="0004525A"/>
    <w:rsid w:val="00082B4B"/>
    <w:rsid w:val="000A1085"/>
    <w:rsid w:val="000A1FB3"/>
    <w:rsid w:val="000D3788"/>
    <w:rsid w:val="00142F46"/>
    <w:rsid w:val="001806A9"/>
    <w:rsid w:val="001B6CF1"/>
    <w:rsid w:val="001D6101"/>
    <w:rsid w:val="00210EDE"/>
    <w:rsid w:val="0022186A"/>
    <w:rsid w:val="002315BF"/>
    <w:rsid w:val="00272598"/>
    <w:rsid w:val="00293044"/>
    <w:rsid w:val="002A70C1"/>
    <w:rsid w:val="00310A02"/>
    <w:rsid w:val="00310DB8"/>
    <w:rsid w:val="0032585C"/>
    <w:rsid w:val="00347E21"/>
    <w:rsid w:val="00385D7B"/>
    <w:rsid w:val="003951F8"/>
    <w:rsid w:val="003C3D86"/>
    <w:rsid w:val="003E7623"/>
    <w:rsid w:val="0042547F"/>
    <w:rsid w:val="004414AF"/>
    <w:rsid w:val="00463E17"/>
    <w:rsid w:val="004675DD"/>
    <w:rsid w:val="00476DC7"/>
    <w:rsid w:val="0048522B"/>
    <w:rsid w:val="004B488B"/>
    <w:rsid w:val="0050473D"/>
    <w:rsid w:val="00505683"/>
    <w:rsid w:val="00574BF3"/>
    <w:rsid w:val="0059555B"/>
    <w:rsid w:val="005A0B83"/>
    <w:rsid w:val="005B14D5"/>
    <w:rsid w:val="005B66AB"/>
    <w:rsid w:val="005F4452"/>
    <w:rsid w:val="0060749B"/>
    <w:rsid w:val="006574D4"/>
    <w:rsid w:val="006A3466"/>
    <w:rsid w:val="00732667"/>
    <w:rsid w:val="00775A90"/>
    <w:rsid w:val="007F0A3C"/>
    <w:rsid w:val="007F1E7F"/>
    <w:rsid w:val="00817C73"/>
    <w:rsid w:val="00831324"/>
    <w:rsid w:val="008407D0"/>
    <w:rsid w:val="0086076D"/>
    <w:rsid w:val="0088209C"/>
    <w:rsid w:val="008A2167"/>
    <w:rsid w:val="008B28A6"/>
    <w:rsid w:val="008D59FC"/>
    <w:rsid w:val="00920AB1"/>
    <w:rsid w:val="009455EE"/>
    <w:rsid w:val="009A7F75"/>
    <w:rsid w:val="00A13D59"/>
    <w:rsid w:val="00A23412"/>
    <w:rsid w:val="00A31ED8"/>
    <w:rsid w:val="00A80AC2"/>
    <w:rsid w:val="00AA45B8"/>
    <w:rsid w:val="00AA4986"/>
    <w:rsid w:val="00AD6CB3"/>
    <w:rsid w:val="00AF418D"/>
    <w:rsid w:val="00B05802"/>
    <w:rsid w:val="00B42ABA"/>
    <w:rsid w:val="00B64DA6"/>
    <w:rsid w:val="00B95398"/>
    <w:rsid w:val="00BB0881"/>
    <w:rsid w:val="00C00E7B"/>
    <w:rsid w:val="00C07D8C"/>
    <w:rsid w:val="00C17D56"/>
    <w:rsid w:val="00C63851"/>
    <w:rsid w:val="00C64626"/>
    <w:rsid w:val="00C91CEC"/>
    <w:rsid w:val="00C966E7"/>
    <w:rsid w:val="00C97591"/>
    <w:rsid w:val="00CD51A7"/>
    <w:rsid w:val="00CE6ACB"/>
    <w:rsid w:val="00D31F29"/>
    <w:rsid w:val="00D82F50"/>
    <w:rsid w:val="00DB06CE"/>
    <w:rsid w:val="00DC7634"/>
    <w:rsid w:val="00E749AB"/>
    <w:rsid w:val="00E83274"/>
    <w:rsid w:val="00E8456C"/>
    <w:rsid w:val="00E90989"/>
    <w:rsid w:val="00ED3BBA"/>
    <w:rsid w:val="00EE701C"/>
    <w:rsid w:val="00F02521"/>
    <w:rsid w:val="00F030F5"/>
    <w:rsid w:val="00F379DC"/>
    <w:rsid w:val="00F429D0"/>
    <w:rsid w:val="00FB0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BDDA-C741-424F-AE19-88019CE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A80AC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4414A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 w:type="character" w:customStyle="1" w:styleId="Heading2Char">
    <w:name w:val="Heading 2 Char"/>
    <w:link w:val="Heading2"/>
    <w:uiPriority w:val="9"/>
    <w:rsid w:val="00A80AC2"/>
    <w:rPr>
      <w:rFonts w:ascii="Times New Roman" w:eastAsia="Times New Roman" w:hAnsi="Times New Roman"/>
      <w:b/>
      <w:bCs/>
      <w:sz w:val="36"/>
      <w:szCs w:val="36"/>
    </w:rPr>
  </w:style>
  <w:style w:type="character" w:customStyle="1" w:styleId="Heading3Char">
    <w:name w:val="Heading 3 Char"/>
    <w:link w:val="Heading3"/>
    <w:uiPriority w:val="9"/>
    <w:semiHidden/>
    <w:rsid w:val="004414AF"/>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6078">
      <w:bodyDiv w:val="1"/>
      <w:marLeft w:val="0"/>
      <w:marRight w:val="0"/>
      <w:marTop w:val="0"/>
      <w:marBottom w:val="0"/>
      <w:divBdr>
        <w:top w:val="none" w:sz="0" w:space="0" w:color="auto"/>
        <w:left w:val="none" w:sz="0" w:space="0" w:color="auto"/>
        <w:bottom w:val="none" w:sz="0" w:space="0" w:color="auto"/>
        <w:right w:val="none" w:sz="0" w:space="0" w:color="auto"/>
      </w:divBdr>
      <w:divsChild>
        <w:div w:id="1249845725">
          <w:marLeft w:val="0"/>
          <w:marRight w:val="0"/>
          <w:marTop w:val="0"/>
          <w:marBottom w:val="0"/>
          <w:divBdr>
            <w:top w:val="none" w:sz="0" w:space="0" w:color="auto"/>
            <w:left w:val="none" w:sz="0" w:space="0" w:color="auto"/>
            <w:bottom w:val="none" w:sz="0" w:space="0" w:color="auto"/>
            <w:right w:val="none" w:sz="0" w:space="0" w:color="auto"/>
          </w:divBdr>
          <w:divsChild>
            <w:div w:id="5632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2103">
      <w:bodyDiv w:val="1"/>
      <w:marLeft w:val="0"/>
      <w:marRight w:val="0"/>
      <w:marTop w:val="0"/>
      <w:marBottom w:val="0"/>
      <w:divBdr>
        <w:top w:val="none" w:sz="0" w:space="0" w:color="auto"/>
        <w:left w:val="none" w:sz="0" w:space="0" w:color="auto"/>
        <w:bottom w:val="none" w:sz="0" w:space="0" w:color="auto"/>
        <w:right w:val="none" w:sz="0" w:space="0" w:color="auto"/>
      </w:divBdr>
      <w:divsChild>
        <w:div w:id="292902968">
          <w:marLeft w:val="0"/>
          <w:marRight w:val="0"/>
          <w:marTop w:val="0"/>
          <w:marBottom w:val="0"/>
          <w:divBdr>
            <w:top w:val="none" w:sz="0" w:space="0" w:color="auto"/>
            <w:left w:val="none" w:sz="0" w:space="0" w:color="auto"/>
            <w:bottom w:val="none" w:sz="0" w:space="0" w:color="auto"/>
            <w:right w:val="none" w:sz="0" w:space="0" w:color="auto"/>
          </w:divBdr>
          <w:divsChild>
            <w:div w:id="19198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gland.riskstratassurance@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publication/list-of-risk-stratification-approved-organis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publication/risk-stratification-assurance-statement/" TargetMode="External"/><Relationship Id="rId5" Type="http://schemas.openxmlformats.org/officeDocument/2006/relationships/webSettings" Target="webSettings.xml"/><Relationship Id="rId15" Type="http://schemas.openxmlformats.org/officeDocument/2006/relationships/hyperlink" Target="https://digital.nhs.uk/article/1202/Records-Management-Code-of-Practice-for-Health-and-Social-Care-2016" TargetMode="External"/><Relationship Id="rId10" Type="http://schemas.openxmlformats.org/officeDocument/2006/relationships/hyperlink" Target="https://www.england.nhs.uk/publication/risk-stratification-assurance-stat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ra.nhs.uk/planning-and-improving-research/application-summaries/confidentiality-advisory-group-registers/" TargetMode="External"/><Relationship Id="rId14" Type="http://schemas.openxmlformats.org/officeDocument/2006/relationships/hyperlink" Target="https://www.england.nhs.uk/ig/risk-stra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8C73-476A-4020-80AA-5060FD3E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10081</CharactersWithSpaces>
  <SharedDoc>false</SharedDoc>
  <HLinks>
    <vt:vector size="48" baseType="variant">
      <vt:variant>
        <vt:i4>720923</vt:i4>
      </vt:variant>
      <vt:variant>
        <vt:i4>21</vt:i4>
      </vt:variant>
      <vt:variant>
        <vt:i4>0</vt:i4>
      </vt:variant>
      <vt:variant>
        <vt:i4>5</vt:i4>
      </vt:variant>
      <vt:variant>
        <vt:lpwstr>https://ico.org.uk/global/contact-us/</vt:lpwstr>
      </vt:variant>
      <vt:variant>
        <vt:lpwstr/>
      </vt:variant>
      <vt:variant>
        <vt:i4>6488106</vt:i4>
      </vt:variant>
      <vt:variant>
        <vt:i4>18</vt:i4>
      </vt:variant>
      <vt:variant>
        <vt:i4>0</vt:i4>
      </vt:variant>
      <vt:variant>
        <vt:i4>5</vt:i4>
      </vt:variant>
      <vt:variant>
        <vt:lpwstr>https://digital.nhs.uk/article/1202/Records-Management-Code-of-Practice-for-Health-and-Social-Care-2016</vt:lpwstr>
      </vt:variant>
      <vt:variant>
        <vt:lpwstr/>
      </vt:variant>
      <vt:variant>
        <vt:i4>2555960</vt:i4>
      </vt:variant>
      <vt:variant>
        <vt:i4>15</vt:i4>
      </vt:variant>
      <vt:variant>
        <vt:i4>0</vt:i4>
      </vt:variant>
      <vt:variant>
        <vt:i4>5</vt:i4>
      </vt:variant>
      <vt:variant>
        <vt:lpwstr>https://www.england.nhs.uk/ig/risk-stratification/</vt:lpwstr>
      </vt:variant>
      <vt:variant>
        <vt:lpwstr/>
      </vt:variant>
      <vt:variant>
        <vt:i4>7733255</vt:i4>
      </vt:variant>
      <vt:variant>
        <vt:i4>12</vt:i4>
      </vt:variant>
      <vt:variant>
        <vt:i4>0</vt:i4>
      </vt:variant>
      <vt:variant>
        <vt:i4>5</vt:i4>
      </vt:variant>
      <vt:variant>
        <vt:lpwstr>mailto:england.riskstratassurance@nhs.net</vt:lpwstr>
      </vt:variant>
      <vt:variant>
        <vt:lpwstr/>
      </vt:variant>
      <vt:variant>
        <vt:i4>3407928</vt:i4>
      </vt:variant>
      <vt:variant>
        <vt:i4>9</vt:i4>
      </vt:variant>
      <vt:variant>
        <vt:i4>0</vt:i4>
      </vt:variant>
      <vt:variant>
        <vt:i4>5</vt:i4>
      </vt:variant>
      <vt:variant>
        <vt:lpwstr>https://www.england.nhs.uk/publication/list-of-risk-stratification-approved-organisations/</vt:lpwstr>
      </vt:variant>
      <vt:variant>
        <vt:lpwstr/>
      </vt:variant>
      <vt:variant>
        <vt:i4>6815776</vt:i4>
      </vt:variant>
      <vt:variant>
        <vt:i4>6</vt:i4>
      </vt:variant>
      <vt:variant>
        <vt:i4>0</vt:i4>
      </vt:variant>
      <vt:variant>
        <vt:i4>5</vt:i4>
      </vt:variant>
      <vt:variant>
        <vt:lpwstr>https://www.england.nhs.uk/publication/risk-stratification-assurance-statement/</vt:lpwstr>
      </vt:variant>
      <vt:variant>
        <vt:lpwstr/>
      </vt:variant>
      <vt:variant>
        <vt:i4>6815776</vt:i4>
      </vt:variant>
      <vt:variant>
        <vt:i4>3</vt:i4>
      </vt:variant>
      <vt:variant>
        <vt:i4>0</vt:i4>
      </vt:variant>
      <vt:variant>
        <vt:i4>5</vt:i4>
      </vt:variant>
      <vt:variant>
        <vt:lpwstr>https://www.england.nhs.uk/publication/risk-stratification-assurance-statement/</vt:lpwstr>
      </vt:variant>
      <vt:variant>
        <vt:lpwstr/>
      </vt:variant>
      <vt:variant>
        <vt:i4>3997814</vt:i4>
      </vt:variant>
      <vt:variant>
        <vt:i4>0</vt:i4>
      </vt:variant>
      <vt:variant>
        <vt:i4>0</vt:i4>
      </vt:variant>
      <vt:variant>
        <vt:i4>5</vt:i4>
      </vt:variant>
      <vt:variant>
        <vt:lpwstr>https://www.hra.nhs.uk/planning-and-improving-research/application-summaries/confidentiality-advisory-group-registers/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Katy Morson</cp:lastModifiedBy>
  <cp:revision>3</cp:revision>
  <cp:lastPrinted>2015-09-28T16:33:00Z</cp:lastPrinted>
  <dcterms:created xsi:type="dcterms:W3CDTF">2020-10-30T08:45:00Z</dcterms:created>
  <dcterms:modified xsi:type="dcterms:W3CDTF">2020-10-30T08:48:00Z</dcterms:modified>
</cp:coreProperties>
</file>