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0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4"/>
      </w:tblGrid>
      <w:tr w:rsidR="00F02521" w:rsidRPr="00E90989" w14:paraId="38FD98E9" w14:textId="77777777" w:rsidTr="001D6101">
        <w:trPr>
          <w:trHeight w:val="2356"/>
        </w:trPr>
        <w:tc>
          <w:tcPr>
            <w:tcW w:w="1994" w:type="dxa"/>
            <w:tcBorders>
              <w:top w:val="nil"/>
              <w:left w:val="nil"/>
              <w:bottom w:val="nil"/>
              <w:right w:val="nil"/>
            </w:tcBorders>
            <w:shd w:val="clear" w:color="auto" w:fill="auto"/>
          </w:tcPr>
          <w:p w14:paraId="3F9ED9A1" w14:textId="77777777" w:rsidR="00F02521" w:rsidRPr="00E90989" w:rsidRDefault="00F02521" w:rsidP="00E90989">
            <w:pPr>
              <w:spacing w:after="0" w:line="240" w:lineRule="auto"/>
              <w:rPr>
                <w:b/>
              </w:rPr>
            </w:pPr>
            <w:r w:rsidRPr="00E90989">
              <w:rPr>
                <w:b/>
              </w:rPr>
              <w:t xml:space="preserve">Dr. </w:t>
            </w:r>
            <w:r w:rsidR="00463E17">
              <w:rPr>
                <w:b/>
              </w:rPr>
              <w:t>J.P. Hopcroft</w:t>
            </w:r>
          </w:p>
          <w:p w14:paraId="4C0FCDD4" w14:textId="77777777" w:rsidR="00F02521" w:rsidRPr="00E90989" w:rsidRDefault="00463E17" w:rsidP="00E90989">
            <w:pPr>
              <w:spacing w:after="0" w:line="240" w:lineRule="auto"/>
              <w:rPr>
                <w:b/>
              </w:rPr>
            </w:pPr>
            <w:r>
              <w:rPr>
                <w:b/>
              </w:rPr>
              <w:t>Dr. R.T. Summers</w:t>
            </w:r>
          </w:p>
          <w:p w14:paraId="15581DC7" w14:textId="77777777" w:rsidR="00F02521" w:rsidRPr="00E90989" w:rsidRDefault="00463E17" w:rsidP="00E90989">
            <w:pPr>
              <w:spacing w:after="0" w:line="240" w:lineRule="auto"/>
              <w:rPr>
                <w:b/>
              </w:rPr>
            </w:pPr>
            <w:r>
              <w:rPr>
                <w:b/>
              </w:rPr>
              <w:t>Dr. C.J. Wright</w:t>
            </w:r>
          </w:p>
          <w:p w14:paraId="707B1403" w14:textId="77777777" w:rsidR="00F02521" w:rsidRPr="00E90989" w:rsidRDefault="00463E17" w:rsidP="00E90989">
            <w:pPr>
              <w:spacing w:after="0" w:line="240" w:lineRule="auto"/>
              <w:rPr>
                <w:b/>
              </w:rPr>
            </w:pPr>
            <w:r>
              <w:rPr>
                <w:b/>
              </w:rPr>
              <w:t>Dr. A. Mayet</w:t>
            </w:r>
          </w:p>
          <w:p w14:paraId="3CBBA430" w14:textId="77777777" w:rsidR="00F02521" w:rsidRPr="00E90989" w:rsidRDefault="00463E17" w:rsidP="00E90989">
            <w:pPr>
              <w:spacing w:after="0" w:line="240" w:lineRule="auto"/>
              <w:rPr>
                <w:b/>
              </w:rPr>
            </w:pPr>
            <w:r>
              <w:rPr>
                <w:b/>
              </w:rPr>
              <w:t>Dr. P. Afsar</w:t>
            </w:r>
          </w:p>
          <w:p w14:paraId="05968AE6" w14:textId="77777777" w:rsidR="00F02521" w:rsidRDefault="00463E17" w:rsidP="00E90989">
            <w:pPr>
              <w:spacing w:after="0" w:line="240" w:lineRule="auto"/>
              <w:rPr>
                <w:b/>
              </w:rPr>
            </w:pPr>
            <w:r>
              <w:rPr>
                <w:b/>
              </w:rPr>
              <w:t>Dr. N. Skaria</w:t>
            </w:r>
          </w:p>
          <w:p w14:paraId="7B5B5BA3" w14:textId="77777777" w:rsidR="00F02521" w:rsidRDefault="00385D7B" w:rsidP="00E90989">
            <w:pPr>
              <w:spacing w:after="0" w:line="240" w:lineRule="auto"/>
              <w:rPr>
                <w:b/>
              </w:rPr>
            </w:pPr>
            <w:r>
              <w:rPr>
                <w:b/>
              </w:rPr>
              <w:t xml:space="preserve">Dr. </w:t>
            </w:r>
            <w:proofErr w:type="gramStart"/>
            <w:r w:rsidR="000D3788">
              <w:rPr>
                <w:b/>
              </w:rPr>
              <w:t>G.</w:t>
            </w:r>
            <w:r>
              <w:rPr>
                <w:b/>
              </w:rPr>
              <w:t>Rajarathinam</w:t>
            </w:r>
            <w:proofErr w:type="gramEnd"/>
          </w:p>
          <w:p w14:paraId="7AD7845B" w14:textId="77777777" w:rsidR="001D6101" w:rsidRPr="0086076D" w:rsidRDefault="001D6101" w:rsidP="00E90989">
            <w:pPr>
              <w:spacing w:after="0" w:line="240" w:lineRule="auto"/>
              <w:rPr>
                <w:b/>
              </w:rPr>
            </w:pPr>
            <w:r>
              <w:rPr>
                <w:b/>
              </w:rPr>
              <w:t>Dr. S. Keegan</w:t>
            </w:r>
          </w:p>
        </w:tc>
      </w:tr>
    </w:tbl>
    <w:p w14:paraId="73DFF43D" w14:textId="77777777" w:rsidR="00E90989" w:rsidRPr="00E90989" w:rsidRDefault="00E90989" w:rsidP="00E90989">
      <w:pPr>
        <w:spacing w:after="0"/>
        <w:rPr>
          <w:vanish/>
        </w:rPr>
      </w:pPr>
    </w:p>
    <w:tbl>
      <w:tblPr>
        <w:tblpPr w:leftFromText="180" w:rightFromText="180" w:vertAnchor="text" w:horzAnchor="page" w:tblpX="9418" w:tblpY="-355"/>
        <w:tblW w:w="0" w:type="auto"/>
        <w:tblLook w:val="04A0" w:firstRow="1" w:lastRow="0" w:firstColumn="1" w:lastColumn="0" w:noHBand="0" w:noVBand="1"/>
      </w:tblPr>
      <w:tblGrid>
        <w:gridCol w:w="2451"/>
      </w:tblGrid>
      <w:tr w:rsidR="002A70C1" w:rsidRPr="00E90989" w14:paraId="185BD643" w14:textId="77777777" w:rsidTr="00E90989">
        <w:trPr>
          <w:trHeight w:val="911"/>
        </w:trPr>
        <w:tc>
          <w:tcPr>
            <w:tcW w:w="1916" w:type="dxa"/>
            <w:shd w:val="clear" w:color="auto" w:fill="auto"/>
          </w:tcPr>
          <w:p w14:paraId="71A9C0F1" w14:textId="2062C27F" w:rsidR="002A70C1" w:rsidRPr="00E90989" w:rsidRDefault="004401F0" w:rsidP="00E90989">
            <w:pPr>
              <w:spacing w:after="0" w:line="240" w:lineRule="auto"/>
              <w:jc w:val="center"/>
            </w:pPr>
            <w:r w:rsidRPr="00DF5605">
              <w:rPr>
                <w:noProof/>
                <w:lang w:eastAsia="en-GB"/>
              </w:rPr>
              <w:drawing>
                <wp:inline distT="0" distB="0" distL="0" distR="0" wp14:anchorId="5851A809" wp14:editId="185C1A1E">
                  <wp:extent cx="1419225" cy="1095375"/>
                  <wp:effectExtent l="0" t="0" r="0" b="0"/>
                  <wp:docPr id="1" name="Picture 3" descr="Description: illustration of the surg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llustration of the surg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095375"/>
                          </a:xfrm>
                          <a:prstGeom prst="rect">
                            <a:avLst/>
                          </a:prstGeom>
                          <a:noFill/>
                          <a:ln>
                            <a:noFill/>
                          </a:ln>
                        </pic:spPr>
                      </pic:pic>
                    </a:graphicData>
                  </a:graphic>
                </wp:inline>
              </w:drawing>
            </w:r>
          </w:p>
        </w:tc>
      </w:tr>
    </w:tbl>
    <w:p w14:paraId="163793CC" w14:textId="2778D3B7" w:rsidR="00C966E7" w:rsidRDefault="004401F0" w:rsidP="00C966E7">
      <w:pPr>
        <w:jc w:val="center"/>
        <w:rPr>
          <w:noProof/>
          <w:lang w:eastAsia="en-GB"/>
        </w:rPr>
      </w:pPr>
      <w:r>
        <w:rPr>
          <w:noProof/>
        </w:rPr>
        <mc:AlternateContent>
          <mc:Choice Requires="wps">
            <w:drawing>
              <wp:inline distT="0" distB="0" distL="0" distR="0" wp14:anchorId="390A9795" wp14:editId="3457E6C5">
                <wp:extent cx="3145155" cy="369570"/>
                <wp:effectExtent l="0" t="0" r="0" b="0"/>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5155" cy="369570"/>
                        </a:xfrm>
                        <a:prstGeom prst="rect">
                          <a:avLst/>
                        </a:prstGeom>
                        <a:noFill/>
                        <a:ln>
                          <a:noFill/>
                        </a:ln>
                        <a:effectLst/>
                      </wps:spPr>
                      <wps:txbx>
                        <w:txbxContent>
                          <w:p w14:paraId="2435FD96"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390A9795" id="_x0000_t202" coordsize="21600,21600" o:spt="202" path="m,l,21600r21600,l21600,xe">
                <v:stroke joinstyle="miter"/>
                <v:path gradientshapeok="t" o:connecttype="rect"/>
              </v:shapetype>
              <v:shape id="Text Box 1" o:spid="_x0000_s1026" type="#_x0000_t202" style="width:247.65pt;height:29.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" filled="f" stroked="f">
                <v:textbox style="mso-fit-shape-to-text:t">
                  <w:txbxContent>
                    <w:p w14:paraId="2435FD96" w14:textId="77777777" w:rsidR="005E58B6" w:rsidRPr="00E90989" w:rsidRDefault="005E58B6" w:rsidP="002A70C1">
                      <w:pPr>
                        <w:spacing w:after="0" w:line="240" w:lineRule="auto"/>
                        <w:jc w:val="center"/>
                        <w:rPr>
                          <w:rFonts w:ascii="Verdana" w:hAnsi="Verdana"/>
                          <w:b/>
                          <w:i/>
                          <w:noProof/>
                          <w:sz w:val="36"/>
                          <w:szCs w:val="36"/>
                        </w:rPr>
                      </w:pPr>
                      <w:r w:rsidRPr="00E90989">
                        <w:rPr>
                          <w:rFonts w:ascii="Verdana" w:hAnsi="Verdana"/>
                          <w:b/>
                          <w:i/>
                          <w:noProof/>
                          <w:sz w:val="36"/>
                          <w:szCs w:val="36"/>
                        </w:rPr>
                        <w:t>FERN HOUSE SURGERY</w:t>
                      </w:r>
                    </w:p>
                  </w:txbxContent>
                </v:textbox>
                <w10:anchorlock/>
              </v:shape>
            </w:pict>
          </mc:Fallback>
        </mc:AlternateContent>
      </w:r>
      <w:r w:rsidR="00F02521">
        <w:rPr>
          <w:rFonts w:ascii="Verdana" w:hAnsi="Verdana"/>
          <w:noProof/>
          <w:sz w:val="23"/>
          <w:szCs w:val="23"/>
          <w:lang w:eastAsia="en-GB"/>
        </w:rPr>
        <w:t xml:space="preserve"> </w:t>
      </w:r>
    </w:p>
    <w:tbl>
      <w:tblPr>
        <w:tblpPr w:leftFromText="180" w:rightFromText="180" w:vertAnchor="text" w:horzAnchor="margin" w:tblpXSpec="center" w:tblpY="829"/>
        <w:tblW w:w="0" w:type="auto"/>
        <w:tblLook w:val="04A0" w:firstRow="1" w:lastRow="0" w:firstColumn="1" w:lastColumn="0" w:noHBand="0" w:noVBand="1"/>
      </w:tblPr>
      <w:tblGrid>
        <w:gridCol w:w="4871"/>
      </w:tblGrid>
      <w:tr w:rsidR="00C966E7" w:rsidRPr="00E90989" w14:paraId="54CF1D72" w14:textId="77777777" w:rsidTr="0086076D">
        <w:trPr>
          <w:trHeight w:val="1784"/>
        </w:trPr>
        <w:tc>
          <w:tcPr>
            <w:tcW w:w="4871" w:type="dxa"/>
            <w:shd w:val="clear" w:color="auto" w:fill="auto"/>
          </w:tcPr>
          <w:p w14:paraId="6D2DA936" w14:textId="77777777" w:rsidR="002A70C1" w:rsidRPr="00E90989" w:rsidRDefault="002A70C1" w:rsidP="00E90989">
            <w:pPr>
              <w:spacing w:after="0" w:line="240" w:lineRule="auto"/>
              <w:jc w:val="center"/>
              <w:rPr>
                <w:b/>
                <w:noProof/>
                <w:lang w:eastAsia="en-GB"/>
              </w:rPr>
            </w:pPr>
          </w:p>
          <w:p w14:paraId="0BC16DFD" w14:textId="77777777" w:rsidR="003951F8" w:rsidRDefault="003951F8" w:rsidP="003951F8">
            <w:pPr>
              <w:pStyle w:val="Header"/>
              <w:jc w:val="center"/>
              <w:rPr>
                <w:b/>
                <w:noProof/>
                <w:sz w:val="36"/>
                <w:szCs w:val="36"/>
                <w:lang w:eastAsia="en-GB"/>
              </w:rPr>
            </w:pPr>
            <w:r>
              <w:rPr>
                <w:b/>
                <w:noProof/>
                <w:sz w:val="36"/>
                <w:szCs w:val="36"/>
                <w:lang w:eastAsia="en-GB"/>
              </w:rPr>
              <w:t xml:space="preserve">Privacy </w:t>
            </w:r>
            <w:r w:rsidRPr="00CA7472">
              <w:rPr>
                <w:b/>
                <w:noProof/>
                <w:sz w:val="36"/>
                <w:szCs w:val="36"/>
                <w:lang w:eastAsia="en-GB"/>
              </w:rPr>
              <w:t>Notice</w:t>
            </w:r>
          </w:p>
          <w:p w14:paraId="16A52FA5" w14:textId="77777777" w:rsidR="003951F8" w:rsidRDefault="00951583" w:rsidP="003951F8">
            <w:pPr>
              <w:pStyle w:val="Header"/>
              <w:jc w:val="center"/>
              <w:rPr>
                <w:b/>
                <w:noProof/>
                <w:sz w:val="36"/>
                <w:szCs w:val="36"/>
                <w:lang w:eastAsia="en-GB"/>
              </w:rPr>
            </w:pPr>
            <w:r>
              <w:rPr>
                <w:b/>
                <w:noProof/>
                <w:sz w:val="36"/>
                <w:szCs w:val="36"/>
                <w:lang w:eastAsia="en-GB"/>
              </w:rPr>
              <w:t>Police</w:t>
            </w:r>
          </w:p>
          <w:p w14:paraId="5A219146" w14:textId="77777777" w:rsidR="002A70C1" w:rsidRPr="00E90989" w:rsidRDefault="002A70C1" w:rsidP="00E90989">
            <w:pPr>
              <w:spacing w:after="0" w:line="240" w:lineRule="auto"/>
              <w:jc w:val="center"/>
            </w:pPr>
          </w:p>
        </w:tc>
      </w:tr>
    </w:tbl>
    <w:p w14:paraId="28A97149" w14:textId="77777777" w:rsidR="00C966E7" w:rsidRPr="00C966E7" w:rsidRDefault="00C966E7" w:rsidP="00C966E7">
      <w:pPr>
        <w:spacing w:after="0" w:line="240" w:lineRule="auto"/>
        <w:jc w:val="center"/>
        <w:rPr>
          <w:b/>
          <w:noProof/>
          <w:lang w:eastAsia="en-GB"/>
        </w:rPr>
      </w:pPr>
    </w:p>
    <w:p w14:paraId="076BD351" w14:textId="77777777" w:rsidR="008A2167" w:rsidRDefault="008A2167" w:rsidP="00C966E7">
      <w:pPr>
        <w:jc w:val="right"/>
      </w:pPr>
    </w:p>
    <w:p w14:paraId="4E967D14" w14:textId="77777777" w:rsidR="00C966E7" w:rsidRDefault="00C966E7" w:rsidP="00C966E7">
      <w:pPr>
        <w:jc w:val="right"/>
        <w:rPr>
          <w:noProof/>
          <w:lang w:eastAsia="en-GB"/>
        </w:rPr>
      </w:pPr>
      <w:r>
        <w:rPr>
          <w:noProof/>
          <w:lang w:eastAsia="en-GB"/>
        </w:rPr>
        <w:t xml:space="preserve"> </w:t>
      </w:r>
    </w:p>
    <w:p w14:paraId="7E493A02" w14:textId="77777777" w:rsidR="002A70C1" w:rsidRDefault="002A70C1" w:rsidP="00C966E7">
      <w:pPr>
        <w:jc w:val="right"/>
      </w:pPr>
    </w:p>
    <w:p w14:paraId="5A436572" w14:textId="77777777" w:rsidR="002A70C1" w:rsidRDefault="002A70C1" w:rsidP="002A70C1">
      <w:pPr>
        <w:jc w:val="center"/>
      </w:pPr>
    </w:p>
    <w:p w14:paraId="6697B707" w14:textId="77777777" w:rsidR="00B42ABA" w:rsidRDefault="00B42ABA" w:rsidP="00775A90">
      <w:pPr>
        <w:spacing w:after="0"/>
      </w:pPr>
    </w:p>
    <w:p w14:paraId="655587F8" w14:textId="77777777" w:rsidR="0086076D" w:rsidRDefault="0086076D" w:rsidP="00775A90">
      <w:pPr>
        <w:spacing w:after="0"/>
      </w:pPr>
    </w:p>
    <w:p w14:paraId="1D4E1BAC" w14:textId="77777777" w:rsidR="0086076D" w:rsidRDefault="0086076D" w:rsidP="00775A90">
      <w:pPr>
        <w:spacing w:after="0"/>
      </w:pPr>
    </w:p>
    <w:p w14:paraId="58886282" w14:textId="77777777" w:rsidR="00463E17" w:rsidRDefault="0086076D" w:rsidP="00775A90">
      <w:pPr>
        <w:spacing w:after="0"/>
      </w:pPr>
      <w:r>
        <w:t>_______________________________________________________________________________________</w:t>
      </w:r>
    </w:p>
    <w:p w14:paraId="03380AF1" w14:textId="77777777" w:rsidR="00CA114A" w:rsidRPr="00713ECE" w:rsidRDefault="00CA114A" w:rsidP="00CA114A">
      <w:pPr>
        <w:rPr>
          <w:color w:val="000000"/>
          <w:sz w:val="28"/>
          <w:szCs w:val="28"/>
          <w:lang w:eastAsia="en-GB"/>
        </w:rPr>
      </w:pPr>
    </w:p>
    <w:p w14:paraId="180880BE" w14:textId="77777777" w:rsidR="00951583" w:rsidRPr="007F54C6" w:rsidRDefault="00951583" w:rsidP="00951583">
      <w:pPr>
        <w:spacing w:after="0" w:line="240" w:lineRule="auto"/>
        <w:jc w:val="both"/>
        <w:rPr>
          <w:color w:val="000000"/>
          <w:lang w:eastAsia="en-GB"/>
        </w:rPr>
      </w:pPr>
      <w:r w:rsidRPr="007F54C6">
        <w:rPr>
          <w:color w:val="000000"/>
          <w:lang w:eastAsia="en-GB"/>
        </w:rPr>
        <w:t>For any disclosures to the police, there must be:</w:t>
      </w:r>
    </w:p>
    <w:p w14:paraId="193FAD8E" w14:textId="77777777" w:rsidR="00951583" w:rsidRPr="007F54C6" w:rsidRDefault="00951583" w:rsidP="00951583">
      <w:pPr>
        <w:spacing w:after="0" w:line="240" w:lineRule="auto"/>
        <w:jc w:val="both"/>
        <w:rPr>
          <w:color w:val="000000"/>
          <w:lang w:eastAsia="en-GB"/>
        </w:rPr>
      </w:pPr>
    </w:p>
    <w:p w14:paraId="3AF1D15D" w14:textId="77777777" w:rsidR="00951583" w:rsidRPr="007F54C6" w:rsidRDefault="00951583" w:rsidP="00951583">
      <w:pPr>
        <w:spacing w:after="0" w:line="240" w:lineRule="auto"/>
        <w:jc w:val="both"/>
        <w:rPr>
          <w:color w:val="000000"/>
          <w:lang w:eastAsia="en-GB"/>
        </w:rPr>
      </w:pPr>
      <w:r w:rsidRPr="007F54C6">
        <w:rPr>
          <w:color w:val="000000"/>
          <w:lang w:eastAsia="en-GB"/>
        </w:rPr>
        <w:t>•</w:t>
      </w:r>
      <w:r w:rsidRPr="007F54C6">
        <w:rPr>
          <w:color w:val="000000"/>
          <w:lang w:eastAsia="en-GB"/>
        </w:rPr>
        <w:tab/>
        <w:t>a legal duty to disclose, or</w:t>
      </w:r>
    </w:p>
    <w:p w14:paraId="69F9C023" w14:textId="77777777" w:rsidR="00951583" w:rsidRPr="007F54C6" w:rsidRDefault="00951583" w:rsidP="00951583">
      <w:pPr>
        <w:spacing w:after="0" w:line="240" w:lineRule="auto"/>
        <w:jc w:val="both"/>
        <w:rPr>
          <w:color w:val="000000"/>
          <w:lang w:eastAsia="en-GB"/>
        </w:rPr>
      </w:pPr>
      <w:r w:rsidRPr="007F54C6">
        <w:rPr>
          <w:color w:val="000000"/>
          <w:lang w:eastAsia="en-GB"/>
        </w:rPr>
        <w:t>•</w:t>
      </w:r>
      <w:r w:rsidRPr="007F54C6">
        <w:rPr>
          <w:color w:val="000000"/>
          <w:lang w:eastAsia="en-GB"/>
        </w:rPr>
        <w:tab/>
        <w:t>a sufficiently important reason to disclose AND a legal basis for doing so</w:t>
      </w:r>
    </w:p>
    <w:p w14:paraId="2D4CF960" w14:textId="77777777" w:rsidR="00951583" w:rsidRPr="007F54C6" w:rsidRDefault="00951583" w:rsidP="00951583">
      <w:pPr>
        <w:spacing w:after="0" w:line="240" w:lineRule="auto"/>
        <w:jc w:val="both"/>
        <w:rPr>
          <w:color w:val="000000"/>
          <w:lang w:eastAsia="en-GB"/>
        </w:rPr>
      </w:pPr>
    </w:p>
    <w:p w14:paraId="7D07989C" w14:textId="77777777" w:rsidR="00951583" w:rsidRPr="007F54C6" w:rsidRDefault="00951583" w:rsidP="00951583">
      <w:pPr>
        <w:spacing w:after="0" w:line="240" w:lineRule="auto"/>
        <w:jc w:val="both"/>
        <w:rPr>
          <w:color w:val="000000"/>
          <w:lang w:eastAsia="en-GB"/>
        </w:rPr>
      </w:pPr>
      <w:r w:rsidRPr="007F54C6">
        <w:rPr>
          <w:color w:val="000000"/>
          <w:lang w:eastAsia="en-GB"/>
        </w:rPr>
        <w:t>Examples include -</w:t>
      </w:r>
    </w:p>
    <w:p w14:paraId="2776967A" w14:textId="77777777" w:rsidR="00951583" w:rsidRPr="007F54C6" w:rsidRDefault="00951583" w:rsidP="00951583">
      <w:pPr>
        <w:spacing w:after="0" w:line="240" w:lineRule="auto"/>
        <w:jc w:val="both"/>
        <w:rPr>
          <w:color w:val="000000"/>
          <w:lang w:eastAsia="en-GB"/>
        </w:rPr>
      </w:pPr>
    </w:p>
    <w:p w14:paraId="0B779F44" w14:textId="77777777" w:rsidR="00951583" w:rsidRPr="007F54C6" w:rsidRDefault="00951583" w:rsidP="00951583">
      <w:pPr>
        <w:spacing w:after="0" w:line="240" w:lineRule="auto"/>
        <w:jc w:val="both"/>
        <w:rPr>
          <w:color w:val="000000"/>
          <w:lang w:eastAsia="en-GB"/>
        </w:rPr>
      </w:pPr>
      <w:r w:rsidRPr="007F54C6">
        <w:rPr>
          <w:color w:val="000000"/>
          <w:lang w:eastAsia="en-GB"/>
        </w:rPr>
        <w:t>Prevention of Terrorism Act (1989) and Terrorism Act (2000)</w:t>
      </w:r>
    </w:p>
    <w:p w14:paraId="0725981F" w14:textId="77777777" w:rsidR="00951583" w:rsidRPr="007F54C6" w:rsidRDefault="00951583" w:rsidP="00951583">
      <w:pPr>
        <w:spacing w:after="0" w:line="240" w:lineRule="auto"/>
        <w:jc w:val="both"/>
        <w:rPr>
          <w:color w:val="000000"/>
          <w:lang w:eastAsia="en-GB"/>
        </w:rPr>
      </w:pPr>
      <w:r w:rsidRPr="007F54C6">
        <w:rPr>
          <w:color w:val="000000"/>
          <w:lang w:eastAsia="en-GB"/>
        </w:rPr>
        <w:t xml:space="preserve">An obligation to inform the Police if you have information (including personal information) that may assist them in preventing an act of </w:t>
      </w:r>
      <w:proofErr w:type="gramStart"/>
      <w:r w:rsidRPr="007F54C6">
        <w:rPr>
          <w:color w:val="000000"/>
          <w:lang w:eastAsia="en-GB"/>
        </w:rPr>
        <w:t>terrorism, or</w:t>
      </w:r>
      <w:proofErr w:type="gramEnd"/>
      <w:r w:rsidRPr="007F54C6">
        <w:rPr>
          <w:color w:val="000000"/>
          <w:lang w:eastAsia="en-GB"/>
        </w:rPr>
        <w:t xml:space="preserve"> help in apprehending or prosecuting a terrorist.</w:t>
      </w:r>
    </w:p>
    <w:p w14:paraId="48499B61" w14:textId="77777777" w:rsidR="00951583" w:rsidRPr="007F54C6" w:rsidRDefault="00951583" w:rsidP="00951583">
      <w:pPr>
        <w:spacing w:after="0" w:line="240" w:lineRule="auto"/>
        <w:jc w:val="both"/>
        <w:rPr>
          <w:color w:val="000000"/>
          <w:lang w:eastAsia="en-GB"/>
        </w:rPr>
      </w:pPr>
    </w:p>
    <w:p w14:paraId="4ADAA1F8" w14:textId="77777777" w:rsidR="00951583" w:rsidRPr="007F54C6" w:rsidRDefault="00951583" w:rsidP="00951583">
      <w:pPr>
        <w:spacing w:after="0" w:line="240" w:lineRule="auto"/>
        <w:jc w:val="both"/>
        <w:rPr>
          <w:color w:val="000000"/>
          <w:lang w:eastAsia="en-GB"/>
        </w:rPr>
      </w:pPr>
      <w:r w:rsidRPr="007F54C6">
        <w:rPr>
          <w:color w:val="000000"/>
          <w:lang w:eastAsia="en-GB"/>
        </w:rPr>
        <w:t>The Road Traffic Act (1988)</w:t>
      </w:r>
    </w:p>
    <w:p w14:paraId="408476BE" w14:textId="77777777" w:rsidR="00951583" w:rsidRPr="007F54C6" w:rsidRDefault="00951583" w:rsidP="00951583">
      <w:pPr>
        <w:spacing w:after="0" w:line="240" w:lineRule="auto"/>
        <w:jc w:val="both"/>
        <w:rPr>
          <w:color w:val="000000"/>
          <w:lang w:eastAsia="en-GB"/>
        </w:rPr>
      </w:pPr>
      <w:r w:rsidRPr="007F54C6">
        <w:rPr>
          <w:color w:val="000000"/>
          <w:lang w:eastAsia="en-GB"/>
        </w:rPr>
        <w:t>A statutory duty to inform the Police, when asked, of any information that might identify any driver who is alleged to have committed an offence under the Act. We are not required to disclose clinical or other confidential information.</w:t>
      </w:r>
    </w:p>
    <w:p w14:paraId="34CC3416" w14:textId="77777777" w:rsidR="00951583" w:rsidRPr="007F54C6" w:rsidRDefault="00951583" w:rsidP="00951583">
      <w:pPr>
        <w:spacing w:after="0" w:line="240" w:lineRule="auto"/>
        <w:jc w:val="both"/>
        <w:rPr>
          <w:color w:val="000000"/>
          <w:lang w:eastAsia="en-GB"/>
        </w:rPr>
      </w:pPr>
    </w:p>
    <w:p w14:paraId="18F6FA66" w14:textId="77777777" w:rsidR="00951583" w:rsidRPr="007F54C6" w:rsidRDefault="00951583" w:rsidP="00951583">
      <w:pPr>
        <w:spacing w:after="0" w:line="240" w:lineRule="auto"/>
        <w:jc w:val="both"/>
        <w:rPr>
          <w:color w:val="000000"/>
          <w:lang w:eastAsia="en-GB"/>
        </w:rPr>
      </w:pPr>
      <w:r w:rsidRPr="007F54C6">
        <w:rPr>
          <w:color w:val="000000"/>
          <w:lang w:eastAsia="en-GB"/>
        </w:rPr>
        <w:t>The Female Genital Mutilation Act (2003)</w:t>
      </w:r>
    </w:p>
    <w:p w14:paraId="55F0DCB1" w14:textId="77777777" w:rsidR="00951583" w:rsidRPr="007F54C6" w:rsidRDefault="00951583" w:rsidP="00951583">
      <w:pPr>
        <w:spacing w:after="0" w:line="240" w:lineRule="auto"/>
        <w:jc w:val="both"/>
        <w:rPr>
          <w:color w:val="000000"/>
          <w:lang w:eastAsia="en-GB"/>
        </w:rPr>
      </w:pPr>
      <w:r w:rsidRPr="007F54C6">
        <w:rPr>
          <w:color w:val="000000"/>
          <w:lang w:eastAsia="en-GB"/>
        </w:rPr>
        <w:t>A statutory duty to report to the police under Section 5B of this Act where it appears that a girl under the age of 18 has been subject to genital mutilation.</w:t>
      </w:r>
    </w:p>
    <w:p w14:paraId="144F50A3" w14:textId="77777777" w:rsidR="00951583" w:rsidRPr="007F54C6" w:rsidRDefault="00951583" w:rsidP="00951583">
      <w:pPr>
        <w:spacing w:after="0" w:line="240" w:lineRule="auto"/>
        <w:jc w:val="both"/>
        <w:rPr>
          <w:color w:val="000000"/>
          <w:lang w:eastAsia="en-GB"/>
        </w:rPr>
      </w:pPr>
    </w:p>
    <w:p w14:paraId="41D54AFE" w14:textId="77777777" w:rsidR="00951583" w:rsidRPr="007F54C6" w:rsidRDefault="00951583" w:rsidP="00951583">
      <w:pPr>
        <w:spacing w:after="0" w:line="240" w:lineRule="auto"/>
        <w:jc w:val="both"/>
        <w:rPr>
          <w:color w:val="000000"/>
          <w:lang w:eastAsia="en-GB"/>
        </w:rPr>
      </w:pPr>
      <w:r w:rsidRPr="007F54C6">
        <w:rPr>
          <w:color w:val="000000"/>
          <w:lang w:eastAsia="en-GB"/>
        </w:rPr>
        <w:t>We have a legal duty to disclose where we are provided with a court order or where there is a direct risk to a patient or a member of the public.</w:t>
      </w:r>
    </w:p>
    <w:p w14:paraId="2EAABA95" w14:textId="77777777" w:rsidR="00951583" w:rsidRPr="007F54C6" w:rsidRDefault="00951583" w:rsidP="00B95398">
      <w:pPr>
        <w:rPr>
          <w:rFonts w:cs="Calibri"/>
        </w:rPr>
      </w:pPr>
    </w:p>
    <w:p w14:paraId="66C4A478" w14:textId="77777777" w:rsidR="00B95398" w:rsidRPr="007F54C6" w:rsidRDefault="00B95398" w:rsidP="00B95398">
      <w:pPr>
        <w:rPr>
          <w:rFonts w:cs="Calibri"/>
        </w:rPr>
      </w:pPr>
      <w:r w:rsidRPr="007F54C6">
        <w:rPr>
          <w:rFonts w:cs="Calibri"/>
        </w:rPr>
        <w:t>We are required by law to provide you with the following information about how we handle your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611"/>
      </w:tblGrid>
      <w:tr w:rsidR="00B95398" w:rsidRPr="007F54C6" w14:paraId="2CFFC108" w14:textId="77777777" w:rsidTr="000A1085">
        <w:tc>
          <w:tcPr>
            <w:tcW w:w="2405" w:type="dxa"/>
            <w:shd w:val="clear" w:color="auto" w:fill="auto"/>
          </w:tcPr>
          <w:p w14:paraId="20E66E3B" w14:textId="77777777" w:rsidR="00B95398" w:rsidRPr="007F54C6" w:rsidRDefault="00B95398" w:rsidP="000A1085">
            <w:pPr>
              <w:rPr>
                <w:rFonts w:cs="Calibri"/>
                <w:b/>
                <w:color w:val="000000"/>
                <w:lang w:eastAsia="en-GB"/>
              </w:rPr>
            </w:pPr>
            <w:r w:rsidRPr="007F54C6">
              <w:rPr>
                <w:rFonts w:cs="Calibri"/>
                <w:b/>
                <w:color w:val="000000"/>
                <w:lang w:eastAsia="en-GB"/>
              </w:rPr>
              <w:t xml:space="preserve">Data Controller </w:t>
            </w:r>
            <w:r w:rsidRPr="007F54C6">
              <w:rPr>
                <w:rFonts w:cs="Calibri"/>
                <w:color w:val="000000"/>
                <w:lang w:eastAsia="en-GB"/>
              </w:rPr>
              <w:t>contact details</w:t>
            </w:r>
          </w:p>
        </w:tc>
        <w:tc>
          <w:tcPr>
            <w:tcW w:w="6611" w:type="dxa"/>
            <w:shd w:val="clear" w:color="auto" w:fill="auto"/>
          </w:tcPr>
          <w:p w14:paraId="431F90B8" w14:textId="77777777" w:rsidR="00B95398" w:rsidRPr="007F54C6" w:rsidRDefault="00B95398" w:rsidP="000A1085">
            <w:pPr>
              <w:rPr>
                <w:rFonts w:cs="Calibri"/>
                <w:lang w:eastAsia="en-GB"/>
              </w:rPr>
            </w:pPr>
            <w:r w:rsidRPr="007F54C6">
              <w:rPr>
                <w:rFonts w:cs="Calibri"/>
                <w:lang w:eastAsia="en-GB"/>
              </w:rPr>
              <w:t>Fern House Surgery, 125 – 129 Newland</w:t>
            </w:r>
            <w:r w:rsidR="00BA7DBA" w:rsidRPr="007F54C6">
              <w:rPr>
                <w:rFonts w:cs="Calibri"/>
                <w:lang w:eastAsia="en-GB"/>
              </w:rPr>
              <w:t xml:space="preserve"> Street, Witham, Essex CM8 1BH </w:t>
            </w:r>
          </w:p>
        </w:tc>
      </w:tr>
      <w:tr w:rsidR="00B95398" w:rsidRPr="007F54C6" w14:paraId="7A1BCEC6" w14:textId="77777777" w:rsidTr="000A1085">
        <w:tc>
          <w:tcPr>
            <w:tcW w:w="2405" w:type="dxa"/>
            <w:shd w:val="clear" w:color="auto" w:fill="auto"/>
          </w:tcPr>
          <w:p w14:paraId="6A9D0FBE" w14:textId="77777777" w:rsidR="00CA114A" w:rsidRPr="007F54C6" w:rsidRDefault="00B95398" w:rsidP="000A1085">
            <w:pPr>
              <w:rPr>
                <w:rFonts w:cs="Calibri"/>
                <w:color w:val="000000"/>
                <w:lang w:eastAsia="en-GB"/>
              </w:rPr>
            </w:pPr>
            <w:r w:rsidRPr="007F54C6">
              <w:rPr>
                <w:rFonts w:cs="Calibri"/>
                <w:b/>
                <w:color w:val="000000"/>
                <w:lang w:eastAsia="en-GB"/>
              </w:rPr>
              <w:t xml:space="preserve">Data Protection Officer </w:t>
            </w:r>
            <w:r w:rsidRPr="007F54C6">
              <w:rPr>
                <w:rFonts w:cs="Calibri"/>
                <w:color w:val="000000"/>
                <w:lang w:eastAsia="en-GB"/>
              </w:rPr>
              <w:t>contact details</w:t>
            </w:r>
          </w:p>
        </w:tc>
        <w:tc>
          <w:tcPr>
            <w:tcW w:w="6611" w:type="dxa"/>
            <w:shd w:val="clear" w:color="auto" w:fill="auto"/>
          </w:tcPr>
          <w:p w14:paraId="2671E2F0" w14:textId="77777777" w:rsidR="00B95398" w:rsidRPr="007F54C6" w:rsidRDefault="00B95398" w:rsidP="000A1085">
            <w:pPr>
              <w:rPr>
                <w:rFonts w:cs="Calibri"/>
                <w:lang w:eastAsia="en-GB"/>
              </w:rPr>
            </w:pPr>
            <w:r w:rsidRPr="007F54C6">
              <w:rPr>
                <w:rFonts w:cs="Calibri"/>
                <w:lang w:eastAsia="en-GB"/>
              </w:rPr>
              <w:t>Information Governance Lead, Fern House Surgery, 125 – 129 Newland</w:t>
            </w:r>
            <w:r w:rsidR="00BA7DBA" w:rsidRPr="007F54C6">
              <w:rPr>
                <w:rFonts w:cs="Calibri"/>
                <w:lang w:eastAsia="en-GB"/>
              </w:rPr>
              <w:t xml:space="preserve"> Street, Witham, Essex CM8 1BH </w:t>
            </w:r>
          </w:p>
        </w:tc>
      </w:tr>
      <w:tr w:rsidR="00B95398" w:rsidRPr="007F54C6" w14:paraId="44784031" w14:textId="77777777" w:rsidTr="000A1085">
        <w:tc>
          <w:tcPr>
            <w:tcW w:w="2405" w:type="dxa"/>
            <w:shd w:val="clear" w:color="auto" w:fill="auto"/>
          </w:tcPr>
          <w:p w14:paraId="17D88DF9" w14:textId="77777777" w:rsidR="00B95398" w:rsidRPr="007F54C6" w:rsidRDefault="00B95398" w:rsidP="000A1085">
            <w:pPr>
              <w:rPr>
                <w:rFonts w:cs="Calibri"/>
              </w:rPr>
            </w:pPr>
            <w:r w:rsidRPr="007F54C6">
              <w:rPr>
                <w:rFonts w:cs="Calibri"/>
                <w:b/>
                <w:color w:val="000000"/>
                <w:lang w:eastAsia="en-GB"/>
              </w:rPr>
              <w:t>Purpose</w:t>
            </w:r>
            <w:r w:rsidRPr="007F54C6">
              <w:rPr>
                <w:rFonts w:cs="Calibri"/>
                <w:color w:val="000000"/>
                <w:lang w:eastAsia="en-GB"/>
              </w:rPr>
              <w:t xml:space="preserve"> of the processing</w:t>
            </w:r>
          </w:p>
        </w:tc>
        <w:tc>
          <w:tcPr>
            <w:tcW w:w="6611" w:type="dxa"/>
            <w:shd w:val="clear" w:color="auto" w:fill="auto"/>
          </w:tcPr>
          <w:p w14:paraId="69CB4FAA" w14:textId="77777777" w:rsidR="00951583" w:rsidRPr="007F54C6" w:rsidRDefault="00951583" w:rsidP="00951583">
            <w:pPr>
              <w:spacing w:after="0" w:line="240" w:lineRule="auto"/>
              <w:jc w:val="both"/>
              <w:rPr>
                <w:lang w:eastAsia="en-GB"/>
              </w:rPr>
            </w:pPr>
            <w:r w:rsidRPr="007F54C6">
              <w:rPr>
                <w:lang w:eastAsia="en-GB"/>
              </w:rPr>
              <w:t>To enable the police to complete their investigations. To ensure the safety of the data subject or other members of the public.</w:t>
            </w:r>
          </w:p>
          <w:p w14:paraId="37BC0E2A" w14:textId="77777777" w:rsidR="00B95398" w:rsidRPr="007F54C6" w:rsidRDefault="00B95398" w:rsidP="00BA7DBA">
            <w:pPr>
              <w:pStyle w:val="ListParagraph"/>
              <w:ind w:left="0"/>
              <w:contextualSpacing/>
              <w:rPr>
                <w:rFonts w:ascii="Calibri" w:hAnsi="Calibri" w:cs="Calibri"/>
                <w:sz w:val="22"/>
                <w:szCs w:val="22"/>
              </w:rPr>
            </w:pPr>
          </w:p>
        </w:tc>
      </w:tr>
      <w:tr w:rsidR="00B95398" w:rsidRPr="007F54C6" w14:paraId="576FE52E" w14:textId="77777777" w:rsidTr="000A1085">
        <w:trPr>
          <w:trHeight w:val="4552"/>
        </w:trPr>
        <w:tc>
          <w:tcPr>
            <w:tcW w:w="2405" w:type="dxa"/>
            <w:shd w:val="clear" w:color="auto" w:fill="auto"/>
          </w:tcPr>
          <w:p w14:paraId="544376F5" w14:textId="77777777" w:rsidR="00B95398" w:rsidRPr="007F54C6" w:rsidRDefault="00B95398" w:rsidP="000A1085">
            <w:pPr>
              <w:rPr>
                <w:rFonts w:cs="Calibri"/>
              </w:rPr>
            </w:pPr>
            <w:r w:rsidRPr="007F54C6">
              <w:rPr>
                <w:rFonts w:cs="Calibri"/>
                <w:b/>
                <w:color w:val="000000"/>
                <w:lang w:eastAsia="en-GB"/>
              </w:rPr>
              <w:lastRenderedPageBreak/>
              <w:t>Lawful basis</w:t>
            </w:r>
            <w:r w:rsidRPr="007F54C6">
              <w:rPr>
                <w:rFonts w:cs="Calibri"/>
                <w:color w:val="000000"/>
                <w:lang w:eastAsia="en-GB"/>
              </w:rPr>
              <w:t xml:space="preserve"> for processing</w:t>
            </w:r>
          </w:p>
          <w:p w14:paraId="3B378912" w14:textId="77777777" w:rsidR="00B95398" w:rsidRPr="007F54C6" w:rsidRDefault="00B95398" w:rsidP="000A1085">
            <w:pPr>
              <w:rPr>
                <w:rFonts w:cs="Calibri"/>
              </w:rPr>
            </w:pPr>
          </w:p>
        </w:tc>
        <w:tc>
          <w:tcPr>
            <w:tcW w:w="6611" w:type="dxa"/>
            <w:shd w:val="clear" w:color="auto" w:fill="auto"/>
          </w:tcPr>
          <w:p w14:paraId="5C9238E0" w14:textId="77777777" w:rsidR="00B95398" w:rsidRPr="007F54C6" w:rsidRDefault="00B95398" w:rsidP="000A1085">
            <w:pPr>
              <w:rPr>
                <w:rFonts w:cs="Calibri"/>
                <w:color w:val="000000"/>
                <w:lang w:eastAsia="en-GB"/>
              </w:rPr>
            </w:pPr>
            <w:r w:rsidRPr="007F54C6">
              <w:rPr>
                <w:rFonts w:cs="Calibri"/>
              </w:rPr>
              <w:t xml:space="preserve">These purposes are </w:t>
            </w:r>
            <w:r w:rsidRPr="007F54C6">
              <w:rPr>
                <w:rFonts w:cs="Calibri"/>
                <w:color w:val="000000"/>
                <w:lang w:eastAsia="en-GB"/>
              </w:rPr>
              <w:t>supported under the following sections of the GDPR:</w:t>
            </w:r>
          </w:p>
          <w:p w14:paraId="709CD232" w14:textId="77777777" w:rsidR="00951583" w:rsidRPr="007F54C6" w:rsidRDefault="00951583" w:rsidP="00951583">
            <w:pPr>
              <w:rPr>
                <w:color w:val="000000"/>
                <w:lang w:eastAsia="en-GB"/>
              </w:rPr>
            </w:pPr>
            <w:r w:rsidRPr="007F54C6">
              <w:rPr>
                <w:color w:val="000000"/>
                <w:lang w:eastAsia="en-GB"/>
              </w:rPr>
              <w:t xml:space="preserve">There is a specific legal </w:t>
            </w:r>
            <w:proofErr w:type="gramStart"/>
            <w:r w:rsidRPr="007F54C6">
              <w:rPr>
                <w:color w:val="000000"/>
                <w:lang w:eastAsia="en-GB"/>
              </w:rPr>
              <w:t>justification;</w:t>
            </w:r>
            <w:proofErr w:type="gramEnd"/>
            <w:r w:rsidRPr="007F54C6">
              <w:rPr>
                <w:color w:val="000000"/>
                <w:lang w:eastAsia="en-GB"/>
              </w:rPr>
              <w:t xml:space="preserve"> </w:t>
            </w:r>
          </w:p>
          <w:p w14:paraId="4B38CCC9" w14:textId="77777777" w:rsidR="00951583" w:rsidRPr="007F54C6" w:rsidRDefault="00951583" w:rsidP="00951583">
            <w:pPr>
              <w:rPr>
                <w:color w:val="000000"/>
                <w:lang w:eastAsia="en-GB"/>
              </w:rPr>
            </w:pPr>
            <w:r w:rsidRPr="007F54C6">
              <w:rPr>
                <w:i/>
                <w:color w:val="000000"/>
                <w:lang w:eastAsia="en-GB"/>
              </w:rPr>
              <w:t>Article 6(</w:t>
            </w:r>
            <w:proofErr w:type="gramStart"/>
            <w:r w:rsidRPr="007F54C6">
              <w:rPr>
                <w:i/>
                <w:color w:val="000000"/>
                <w:lang w:eastAsia="en-GB"/>
              </w:rPr>
              <w:t>1)</w:t>
            </w:r>
            <w:r w:rsidRPr="007F54C6">
              <w:rPr>
                <w:i/>
              </w:rPr>
              <w:t>(</w:t>
            </w:r>
            <w:proofErr w:type="gramEnd"/>
            <w:r w:rsidRPr="007F54C6">
              <w:t xml:space="preserve"> </w:t>
            </w:r>
            <w:r w:rsidRPr="007F54C6">
              <w:rPr>
                <w:i/>
              </w:rPr>
              <w:t>(c) ‘Legal obligation: the processing is necessary for you to comply with the law (not including contractual obligations)’.</w:t>
            </w:r>
            <w:r w:rsidRPr="007F54C6">
              <w:rPr>
                <w:color w:val="000000"/>
                <w:lang w:eastAsia="en-GB"/>
              </w:rPr>
              <w:t xml:space="preserve">And </w:t>
            </w:r>
          </w:p>
          <w:p w14:paraId="5D152857" w14:textId="77777777" w:rsidR="00951583" w:rsidRPr="007F54C6" w:rsidRDefault="00951583" w:rsidP="00951583">
            <w:pPr>
              <w:rPr>
                <w:i/>
                <w:color w:val="000000"/>
              </w:rPr>
            </w:pPr>
            <w:r w:rsidRPr="007F54C6">
              <w:rPr>
                <w:i/>
                <w:color w:val="000000"/>
                <w:lang w:eastAsia="en-GB"/>
              </w:rPr>
              <w:t xml:space="preserve">Article 9(2) (g) ‘processing is necessary for reasons of substantial public interest, on the basis of Union or Member State law which shall be proportionate to the aim pursued, respect the essence of the right to data protection and provide for suitable and specific measures to safeguard the fundamental rights and the interests of the data </w:t>
            </w:r>
            <w:proofErr w:type="gramStart"/>
            <w:r w:rsidRPr="007F54C6">
              <w:rPr>
                <w:i/>
                <w:color w:val="000000"/>
                <w:lang w:eastAsia="en-GB"/>
              </w:rPr>
              <w:t>subject;</w:t>
            </w:r>
            <w:r w:rsidRPr="007F54C6">
              <w:rPr>
                <w:i/>
                <w:color w:val="000000"/>
              </w:rPr>
              <w:t>‘</w:t>
            </w:r>
            <w:proofErr w:type="gramEnd"/>
          </w:p>
          <w:p w14:paraId="0FB96BF9" w14:textId="77777777" w:rsidR="00B95398" w:rsidRPr="007F54C6" w:rsidRDefault="00B95398" w:rsidP="000A1085">
            <w:pPr>
              <w:rPr>
                <w:rFonts w:cs="Calibri"/>
              </w:rPr>
            </w:pPr>
            <w:r w:rsidRPr="007F54C6">
              <w:rPr>
                <w:rFonts w:cs="Calibri"/>
                <w:color w:val="000000"/>
              </w:rPr>
              <w:t>Healthcare staff will also respect and comply with their obligations under the common law duty of confidence.</w:t>
            </w:r>
          </w:p>
        </w:tc>
      </w:tr>
      <w:tr w:rsidR="00B95398" w:rsidRPr="007F54C6" w14:paraId="1695C86E" w14:textId="77777777" w:rsidTr="000A1085">
        <w:tc>
          <w:tcPr>
            <w:tcW w:w="2405" w:type="dxa"/>
            <w:shd w:val="clear" w:color="auto" w:fill="auto"/>
          </w:tcPr>
          <w:p w14:paraId="7AB7F89D" w14:textId="77777777" w:rsidR="00B95398" w:rsidRPr="007F54C6" w:rsidRDefault="00B95398" w:rsidP="000A1085">
            <w:pPr>
              <w:rPr>
                <w:rFonts w:cs="Calibri"/>
                <w:color w:val="000000"/>
                <w:lang w:eastAsia="en-GB"/>
              </w:rPr>
            </w:pPr>
            <w:r w:rsidRPr="007F54C6">
              <w:rPr>
                <w:rFonts w:cs="Calibri"/>
                <w:b/>
                <w:color w:val="000000"/>
                <w:lang w:eastAsia="en-GB"/>
              </w:rPr>
              <w:t xml:space="preserve">Recipient or categories of recipients </w:t>
            </w:r>
            <w:r w:rsidR="00951583" w:rsidRPr="007F54C6">
              <w:rPr>
                <w:rFonts w:cs="Calibri"/>
                <w:color w:val="000000"/>
                <w:lang w:eastAsia="en-GB"/>
              </w:rPr>
              <w:t>of the processed data</w:t>
            </w:r>
          </w:p>
        </w:tc>
        <w:tc>
          <w:tcPr>
            <w:tcW w:w="6611" w:type="dxa"/>
            <w:shd w:val="clear" w:color="auto" w:fill="auto"/>
          </w:tcPr>
          <w:p w14:paraId="7EC9963E" w14:textId="77777777" w:rsidR="00BA7DBA" w:rsidRPr="007F54C6" w:rsidRDefault="00BA7DBA" w:rsidP="00BA7DBA">
            <w:pPr>
              <w:spacing w:after="0" w:line="240" w:lineRule="auto"/>
              <w:jc w:val="both"/>
              <w:rPr>
                <w:color w:val="000000"/>
                <w:lang w:eastAsia="en-GB"/>
              </w:rPr>
            </w:pPr>
            <w:r w:rsidRPr="007F54C6">
              <w:rPr>
                <w:color w:val="000000"/>
                <w:lang w:eastAsia="en-GB"/>
              </w:rPr>
              <w:t xml:space="preserve">The data will be shared with </w:t>
            </w:r>
            <w:r w:rsidR="00951583" w:rsidRPr="007F54C6">
              <w:rPr>
                <w:lang w:eastAsia="en-GB"/>
              </w:rPr>
              <w:t xml:space="preserve">the police (or other judicial authorities).  </w:t>
            </w:r>
          </w:p>
        </w:tc>
      </w:tr>
      <w:tr w:rsidR="00B95398" w:rsidRPr="007F54C6" w14:paraId="564EA050" w14:textId="77777777" w:rsidTr="000A1085">
        <w:tc>
          <w:tcPr>
            <w:tcW w:w="2405" w:type="dxa"/>
            <w:shd w:val="clear" w:color="auto" w:fill="auto"/>
          </w:tcPr>
          <w:p w14:paraId="0B36D9D7" w14:textId="77777777" w:rsidR="00B95398" w:rsidRPr="007F54C6" w:rsidRDefault="00B95398" w:rsidP="000A1085">
            <w:pPr>
              <w:rPr>
                <w:rFonts w:cs="Calibri"/>
              </w:rPr>
            </w:pPr>
            <w:r w:rsidRPr="007F54C6">
              <w:rPr>
                <w:rFonts w:cs="Calibri"/>
                <w:b/>
                <w:color w:val="000000"/>
                <w:lang w:eastAsia="en-GB"/>
              </w:rPr>
              <w:t>Rights to object</w:t>
            </w:r>
          </w:p>
        </w:tc>
        <w:tc>
          <w:tcPr>
            <w:tcW w:w="6611" w:type="dxa"/>
            <w:shd w:val="clear" w:color="auto" w:fill="auto"/>
          </w:tcPr>
          <w:p w14:paraId="524FB138" w14:textId="77777777" w:rsidR="00B95398" w:rsidRPr="007F54C6" w:rsidRDefault="00951583" w:rsidP="00BA7DBA">
            <w:pPr>
              <w:pStyle w:val="ListParagraph"/>
              <w:ind w:left="0"/>
              <w:contextualSpacing/>
              <w:jc w:val="both"/>
              <w:rPr>
                <w:rFonts w:ascii="Calibri" w:hAnsi="Calibri" w:cs="Calibri"/>
                <w:sz w:val="22"/>
                <w:szCs w:val="22"/>
              </w:rPr>
            </w:pPr>
            <w:r w:rsidRPr="007F54C6">
              <w:rPr>
                <w:rFonts w:ascii="Calibri" w:hAnsi="Calibri"/>
                <w:sz w:val="22"/>
                <w:szCs w:val="22"/>
                <w:lang w:eastAsia="en-GB"/>
              </w:rPr>
              <w:t>No.</w:t>
            </w:r>
          </w:p>
        </w:tc>
      </w:tr>
      <w:tr w:rsidR="00B95398" w:rsidRPr="007F54C6" w14:paraId="63011720" w14:textId="77777777" w:rsidTr="000A1085">
        <w:tc>
          <w:tcPr>
            <w:tcW w:w="2405" w:type="dxa"/>
            <w:shd w:val="clear" w:color="auto" w:fill="auto"/>
          </w:tcPr>
          <w:p w14:paraId="2168F747" w14:textId="77777777" w:rsidR="00B95398" w:rsidRPr="007F54C6" w:rsidRDefault="00B95398" w:rsidP="000A1085">
            <w:pPr>
              <w:rPr>
                <w:rFonts w:cs="Calibri"/>
              </w:rPr>
            </w:pPr>
            <w:r w:rsidRPr="007F54C6">
              <w:rPr>
                <w:rFonts w:cs="Calibri"/>
                <w:b/>
                <w:color w:val="000000"/>
                <w:lang w:eastAsia="en-GB"/>
              </w:rPr>
              <w:t>Right to access and correct</w:t>
            </w:r>
          </w:p>
        </w:tc>
        <w:tc>
          <w:tcPr>
            <w:tcW w:w="6611" w:type="dxa"/>
            <w:shd w:val="clear" w:color="auto" w:fill="auto"/>
          </w:tcPr>
          <w:p w14:paraId="52E32CF1" w14:textId="77777777" w:rsidR="00B95398" w:rsidRPr="007F54C6" w:rsidRDefault="00B95398" w:rsidP="000A1085">
            <w:pPr>
              <w:pStyle w:val="ListParagraph"/>
              <w:numPr>
                <w:ilvl w:val="0"/>
                <w:numId w:val="16"/>
              </w:numPr>
              <w:contextualSpacing/>
              <w:rPr>
                <w:rFonts w:ascii="Calibri" w:hAnsi="Calibri" w:cs="Calibri"/>
                <w:sz w:val="22"/>
                <w:szCs w:val="22"/>
                <w:lang w:eastAsia="en-GB"/>
              </w:rPr>
            </w:pPr>
            <w:r w:rsidRPr="007F54C6">
              <w:rPr>
                <w:rFonts w:ascii="Calibri" w:hAnsi="Calibri" w:cs="Calibri"/>
                <w:color w:val="000000"/>
                <w:sz w:val="22"/>
                <w:szCs w:val="22"/>
                <w:lang w:eastAsia="en-GB"/>
              </w:rPr>
              <w:t xml:space="preserve">You have the right to access your medical record and have any errors or mistakes corrected. </w:t>
            </w:r>
            <w:r w:rsidRPr="007F54C6">
              <w:rPr>
                <w:rFonts w:ascii="Calibri" w:hAnsi="Calibri" w:cs="Calibri"/>
                <w:sz w:val="22"/>
                <w:szCs w:val="22"/>
                <w:lang w:eastAsia="en-GB"/>
              </w:rPr>
              <w:t>I</w:t>
            </w:r>
            <w:proofErr w:type="spellStart"/>
            <w:r w:rsidRPr="007F54C6">
              <w:rPr>
                <w:rFonts w:ascii="Calibri" w:hAnsi="Calibri" w:cs="Arial"/>
                <w:sz w:val="22"/>
                <w:szCs w:val="22"/>
                <w:lang w:val="en-US"/>
              </w:rPr>
              <w:t>f</w:t>
            </w:r>
            <w:proofErr w:type="spellEnd"/>
            <w:r w:rsidRPr="007F54C6">
              <w:rPr>
                <w:rFonts w:ascii="Calibri" w:hAnsi="Calibri" w:cs="Arial"/>
                <w:sz w:val="22"/>
                <w:szCs w:val="22"/>
                <w:lang w:val="en-US"/>
              </w:rPr>
              <w:t xml:space="preserve"> you would like to access this information, you will need to complete a Subject Access Request (SAR). Please ask at reception for a SAR form</w:t>
            </w:r>
            <w:r w:rsidR="00042431" w:rsidRPr="007F54C6">
              <w:rPr>
                <w:rFonts w:ascii="Calibri" w:hAnsi="Calibri" w:cs="Arial"/>
                <w:sz w:val="22"/>
                <w:szCs w:val="22"/>
                <w:lang w:val="en-US"/>
              </w:rPr>
              <w:t>.</w:t>
            </w:r>
          </w:p>
          <w:p w14:paraId="704004B2" w14:textId="77777777" w:rsidR="00B95398" w:rsidRPr="007F54C6" w:rsidRDefault="00B95398" w:rsidP="00BA7DBA">
            <w:pPr>
              <w:numPr>
                <w:ilvl w:val="0"/>
                <w:numId w:val="16"/>
              </w:numPr>
              <w:spacing w:after="160" w:line="252" w:lineRule="auto"/>
              <w:contextualSpacing/>
              <w:rPr>
                <w:rFonts w:eastAsia="Times New Roman"/>
                <w:color w:val="000000"/>
                <w:lang w:eastAsia="en-GB"/>
              </w:rPr>
            </w:pPr>
            <w:r w:rsidRPr="007F54C6">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B95398" w:rsidRPr="007F54C6" w14:paraId="68D8682C" w14:textId="77777777" w:rsidTr="000A1085">
        <w:tc>
          <w:tcPr>
            <w:tcW w:w="2405" w:type="dxa"/>
            <w:shd w:val="clear" w:color="auto" w:fill="auto"/>
          </w:tcPr>
          <w:p w14:paraId="3BE10735" w14:textId="77777777" w:rsidR="00B95398" w:rsidRPr="007F54C6" w:rsidRDefault="00B95398" w:rsidP="000A1085">
            <w:pPr>
              <w:rPr>
                <w:rFonts w:cs="Calibri"/>
                <w:b/>
                <w:color w:val="000000"/>
                <w:lang w:eastAsia="en-GB"/>
              </w:rPr>
            </w:pPr>
            <w:r w:rsidRPr="007F54C6">
              <w:rPr>
                <w:rFonts w:cs="Calibri"/>
                <w:b/>
                <w:color w:val="000000"/>
                <w:lang w:eastAsia="en-GB"/>
              </w:rPr>
              <w:t>Retention period</w:t>
            </w:r>
          </w:p>
          <w:p w14:paraId="42DE5B43" w14:textId="77777777" w:rsidR="00B95398" w:rsidRPr="007F54C6" w:rsidRDefault="00B95398" w:rsidP="000A1085">
            <w:pPr>
              <w:rPr>
                <w:rFonts w:cs="Calibri"/>
              </w:rPr>
            </w:pPr>
          </w:p>
        </w:tc>
        <w:tc>
          <w:tcPr>
            <w:tcW w:w="6611" w:type="dxa"/>
            <w:shd w:val="clear" w:color="auto" w:fill="auto"/>
          </w:tcPr>
          <w:p w14:paraId="675FFF77" w14:textId="77777777" w:rsidR="00B95398" w:rsidRPr="007F54C6" w:rsidRDefault="00B95398" w:rsidP="000A1085">
            <w:pPr>
              <w:rPr>
                <w:rFonts w:cs="Calibri"/>
                <w:color w:val="0000FF"/>
                <w:u w:val="single"/>
                <w:lang w:eastAsia="en-GB"/>
              </w:rPr>
            </w:pPr>
            <w:r w:rsidRPr="007F54C6">
              <w:rPr>
                <w:rFonts w:cs="Calibri"/>
                <w:color w:val="000000"/>
                <w:lang w:eastAsia="en-GB"/>
              </w:rPr>
              <w:t xml:space="preserve">GP medical records will be kept in line with the law and national guidance. Information on how long records are kept can be found at: </w:t>
            </w:r>
            <w:hyperlink r:id="rId9" w:history="1">
              <w:r w:rsidRPr="007F54C6">
                <w:rPr>
                  <w:rStyle w:val="Hyperlink"/>
                  <w:rFonts w:cs="Calibri"/>
                  <w:lang w:eastAsia="en-GB"/>
                </w:rPr>
                <w:t>https://digital.nhs.uk/article/1202/Records-Management-Code-of-Practice-for-Health-and-Social-Care-2016</w:t>
              </w:r>
            </w:hyperlink>
            <w:r w:rsidRPr="007F54C6">
              <w:rPr>
                <w:rStyle w:val="Hyperlink"/>
                <w:rFonts w:cs="Calibri"/>
                <w:lang w:eastAsia="en-GB"/>
              </w:rPr>
              <w:t xml:space="preserve"> </w:t>
            </w:r>
          </w:p>
        </w:tc>
      </w:tr>
      <w:tr w:rsidR="00B95398" w:rsidRPr="007F54C6" w14:paraId="608CBB3F" w14:textId="77777777" w:rsidTr="000A1085">
        <w:tc>
          <w:tcPr>
            <w:tcW w:w="2405" w:type="dxa"/>
            <w:shd w:val="clear" w:color="auto" w:fill="auto"/>
          </w:tcPr>
          <w:p w14:paraId="5121480F" w14:textId="77777777" w:rsidR="00B95398" w:rsidRPr="007F54C6" w:rsidRDefault="00B95398" w:rsidP="000A1085">
            <w:pPr>
              <w:rPr>
                <w:rFonts w:cs="Calibri"/>
                <w:b/>
                <w:color w:val="000000"/>
                <w:lang w:eastAsia="en-GB"/>
              </w:rPr>
            </w:pPr>
            <w:r w:rsidRPr="007F54C6">
              <w:rPr>
                <w:rFonts w:cs="Calibri"/>
                <w:b/>
                <w:color w:val="000000"/>
                <w:lang w:eastAsia="en-GB"/>
              </w:rPr>
              <w:t>Right to complain</w:t>
            </w:r>
          </w:p>
          <w:p w14:paraId="04D64CC2" w14:textId="77777777" w:rsidR="00B95398" w:rsidRPr="007F54C6" w:rsidRDefault="00B95398" w:rsidP="000A1085">
            <w:pPr>
              <w:rPr>
                <w:rFonts w:cs="Calibri"/>
              </w:rPr>
            </w:pPr>
          </w:p>
        </w:tc>
        <w:tc>
          <w:tcPr>
            <w:tcW w:w="6611" w:type="dxa"/>
            <w:shd w:val="clear" w:color="auto" w:fill="auto"/>
          </w:tcPr>
          <w:p w14:paraId="2C4B51C5" w14:textId="77777777" w:rsidR="00951583" w:rsidRPr="007F54C6" w:rsidRDefault="00B95398" w:rsidP="000A1085">
            <w:pPr>
              <w:rPr>
                <w:b/>
                <w:bCs/>
              </w:rPr>
            </w:pPr>
            <w:r w:rsidRPr="007F54C6">
              <w:rPr>
                <w:rFonts w:cs="Calibri"/>
                <w:color w:val="000000"/>
                <w:lang w:eastAsia="en-GB"/>
              </w:rPr>
              <w:t>You have the right to complain to the Information Commissioner’s Office. If you wish to complain follow this link</w:t>
            </w:r>
            <w:r w:rsidRPr="007F54C6">
              <w:rPr>
                <w:rFonts w:cs="Calibri"/>
              </w:rPr>
              <w:t xml:space="preserve"> </w:t>
            </w:r>
            <w:hyperlink r:id="rId10" w:history="1">
              <w:r w:rsidRPr="007F54C6">
                <w:rPr>
                  <w:rStyle w:val="Hyperlink"/>
                  <w:rFonts w:cs="Calibri"/>
                  <w:lang w:eastAsia="en-GB"/>
                </w:rPr>
                <w:t>https://ico.org.uk/global/contact-us/</w:t>
              </w:r>
            </w:hyperlink>
            <w:r w:rsidRPr="007F54C6">
              <w:rPr>
                <w:rStyle w:val="Hyperlink"/>
                <w:rFonts w:cs="Calibri"/>
                <w:lang w:eastAsia="en-GB"/>
              </w:rPr>
              <w:t xml:space="preserve"> or call the helpline </w:t>
            </w:r>
            <w:r w:rsidRPr="007F54C6">
              <w:rPr>
                <w:rStyle w:val="Strong"/>
              </w:rPr>
              <w:t>0303 123 1113</w:t>
            </w:r>
          </w:p>
        </w:tc>
      </w:tr>
      <w:tr w:rsidR="00B95398" w:rsidRPr="007F54C6" w14:paraId="1F12BB33" w14:textId="77777777" w:rsidTr="000A1085">
        <w:tc>
          <w:tcPr>
            <w:tcW w:w="2405" w:type="dxa"/>
            <w:shd w:val="clear" w:color="auto" w:fill="auto"/>
          </w:tcPr>
          <w:p w14:paraId="11F84112" w14:textId="77777777" w:rsidR="00B95398" w:rsidRPr="007F54C6" w:rsidRDefault="00B95398" w:rsidP="000A1085">
            <w:pPr>
              <w:rPr>
                <w:rFonts w:cs="Calibri"/>
                <w:b/>
                <w:color w:val="000000"/>
                <w:lang w:eastAsia="en-GB"/>
              </w:rPr>
            </w:pPr>
            <w:r w:rsidRPr="007F54C6">
              <w:rPr>
                <w:rFonts w:cs="Calibri"/>
                <w:b/>
                <w:color w:val="000000"/>
                <w:lang w:eastAsia="en-GB"/>
              </w:rPr>
              <w:t>Data we get from other organisations</w:t>
            </w:r>
          </w:p>
        </w:tc>
        <w:tc>
          <w:tcPr>
            <w:tcW w:w="6611" w:type="dxa"/>
            <w:shd w:val="clear" w:color="auto" w:fill="auto"/>
          </w:tcPr>
          <w:p w14:paraId="7BE51991" w14:textId="77777777" w:rsidR="00B95398" w:rsidRPr="007F54C6" w:rsidRDefault="00B95398" w:rsidP="00951583">
            <w:pPr>
              <w:jc w:val="both"/>
              <w:rPr>
                <w:rFonts w:cs="Calibri"/>
                <w:color w:val="000000"/>
                <w:lang w:eastAsia="en-GB"/>
              </w:rPr>
            </w:pPr>
            <w:r w:rsidRPr="007F54C6">
              <w:rPr>
                <w:rFonts w:cs="Calibr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2CA4602E" w14:textId="77777777" w:rsidR="008B28A6" w:rsidRPr="007F54C6" w:rsidRDefault="008B28A6" w:rsidP="00AF418D">
      <w:pPr>
        <w:rPr>
          <w:b/>
          <w:bCs/>
          <w:i/>
          <w:iCs/>
          <w:color w:val="1F497D"/>
          <w:lang w:eastAsia="en-GB"/>
        </w:rPr>
      </w:pPr>
    </w:p>
    <w:sectPr w:rsidR="008B28A6" w:rsidRPr="007F54C6" w:rsidSect="003951F8">
      <w:footerReference w:type="default" r:id="rId11"/>
      <w:pgSz w:w="11906" w:h="16838"/>
      <w:pgMar w:top="567"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DB1D" w14:textId="77777777" w:rsidR="007F54C6" w:rsidRDefault="007F54C6" w:rsidP="00C17D56">
      <w:pPr>
        <w:spacing w:after="0" w:line="240" w:lineRule="auto"/>
      </w:pPr>
      <w:r>
        <w:separator/>
      </w:r>
    </w:p>
  </w:endnote>
  <w:endnote w:type="continuationSeparator" w:id="0">
    <w:p w14:paraId="68D73053" w14:textId="77777777" w:rsidR="007F54C6" w:rsidRDefault="007F54C6" w:rsidP="00C17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D7238" w14:textId="77777777" w:rsidR="005E58B6" w:rsidRDefault="005E58B6" w:rsidP="00C17D56">
    <w:pPr>
      <w:pStyle w:val="Footer"/>
      <w:jc w:val="center"/>
      <w:rPr>
        <w:sz w:val="14"/>
        <w:szCs w:val="14"/>
      </w:rPr>
    </w:pPr>
  </w:p>
  <w:p w14:paraId="02A39442" w14:textId="77777777" w:rsidR="005E58B6" w:rsidRDefault="005E58B6" w:rsidP="00C17D56">
    <w:pPr>
      <w:pStyle w:val="Footer"/>
      <w:spacing w:after="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604EB" w14:textId="77777777" w:rsidR="007F54C6" w:rsidRDefault="007F54C6" w:rsidP="00C17D56">
      <w:pPr>
        <w:spacing w:after="0" w:line="240" w:lineRule="auto"/>
      </w:pPr>
      <w:r>
        <w:separator/>
      </w:r>
    </w:p>
  </w:footnote>
  <w:footnote w:type="continuationSeparator" w:id="0">
    <w:p w14:paraId="56BE597F" w14:textId="77777777" w:rsidR="007F54C6" w:rsidRDefault="007F54C6" w:rsidP="00C17D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D1B7B"/>
    <w:multiLevelType w:val="hybridMultilevel"/>
    <w:tmpl w:val="CEDC443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D11477"/>
    <w:multiLevelType w:val="hybridMultilevel"/>
    <w:tmpl w:val="10E0E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B0136"/>
    <w:multiLevelType w:val="hybridMultilevel"/>
    <w:tmpl w:val="B3C6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6776C"/>
    <w:multiLevelType w:val="hybridMultilevel"/>
    <w:tmpl w:val="7938B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D4CE2"/>
    <w:multiLevelType w:val="hybridMultilevel"/>
    <w:tmpl w:val="3C223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2D3B1F"/>
    <w:multiLevelType w:val="hybridMultilevel"/>
    <w:tmpl w:val="7A0A7822"/>
    <w:lvl w:ilvl="0" w:tplc="015443E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BA2FB1"/>
    <w:multiLevelType w:val="hybridMultilevel"/>
    <w:tmpl w:val="B922CDB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35C09896"/>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7E0527A"/>
    <w:multiLevelType w:val="hybridMultilevel"/>
    <w:tmpl w:val="9D1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7240522">
    <w:abstractNumId w:val="3"/>
  </w:num>
  <w:num w:numId="2" w16cid:durableId="2069065876">
    <w:abstractNumId w:val="8"/>
  </w:num>
  <w:num w:numId="3" w16cid:durableId="963733842">
    <w:abstractNumId w:val="7"/>
  </w:num>
  <w:num w:numId="4" w16cid:durableId="1192845456">
    <w:abstractNumId w:val="4"/>
  </w:num>
  <w:num w:numId="5" w16cid:durableId="743917476">
    <w:abstractNumId w:val="5"/>
  </w:num>
  <w:num w:numId="6" w16cid:durableId="569198330">
    <w:abstractNumId w:val="1"/>
    <w:lvlOverride w:ilvl="0"/>
    <w:lvlOverride w:ilvl="1"/>
    <w:lvlOverride w:ilvl="2"/>
    <w:lvlOverride w:ilvl="3"/>
    <w:lvlOverride w:ilvl="4"/>
    <w:lvlOverride w:ilvl="5"/>
    <w:lvlOverride w:ilvl="6"/>
    <w:lvlOverride w:ilvl="7"/>
    <w:lvlOverride w:ilvl="8"/>
  </w:num>
  <w:num w:numId="7" w16cid:durableId="443967042">
    <w:abstractNumId w:val="1"/>
  </w:num>
  <w:num w:numId="8" w16cid:durableId="850995351">
    <w:abstractNumId w:val="9"/>
  </w:num>
  <w:num w:numId="9" w16cid:durableId="1608007536">
    <w:abstractNumId w:val="15"/>
  </w:num>
  <w:num w:numId="10" w16cid:durableId="1771470439">
    <w:abstractNumId w:val="11"/>
  </w:num>
  <w:num w:numId="11" w16cid:durableId="58795673">
    <w:abstractNumId w:val="12"/>
  </w:num>
  <w:num w:numId="12" w16cid:durableId="67971316">
    <w:abstractNumId w:val="13"/>
  </w:num>
  <w:num w:numId="13" w16cid:durableId="1078018431">
    <w:abstractNumId w:val="10"/>
  </w:num>
  <w:num w:numId="14" w16cid:durableId="1945527302">
    <w:abstractNumId w:val="6"/>
  </w:num>
  <w:num w:numId="15" w16cid:durableId="407964492">
    <w:abstractNumId w:val="0"/>
  </w:num>
  <w:num w:numId="16" w16cid:durableId="78253395">
    <w:abstractNumId w:val="14"/>
  </w:num>
  <w:num w:numId="17" w16cid:durableId="1272977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E7"/>
    <w:rsid w:val="00031462"/>
    <w:rsid w:val="00042431"/>
    <w:rsid w:val="00082B4B"/>
    <w:rsid w:val="000A1085"/>
    <w:rsid w:val="000A1FB3"/>
    <w:rsid w:val="000D3788"/>
    <w:rsid w:val="00114FE2"/>
    <w:rsid w:val="00142F46"/>
    <w:rsid w:val="001806A9"/>
    <w:rsid w:val="001B6CF1"/>
    <w:rsid w:val="001D6101"/>
    <w:rsid w:val="00210EDE"/>
    <w:rsid w:val="0022186A"/>
    <w:rsid w:val="002315BF"/>
    <w:rsid w:val="00272598"/>
    <w:rsid w:val="00293044"/>
    <w:rsid w:val="002A70C1"/>
    <w:rsid w:val="00310A02"/>
    <w:rsid w:val="0032585C"/>
    <w:rsid w:val="00347E21"/>
    <w:rsid w:val="00385D7B"/>
    <w:rsid w:val="003951F8"/>
    <w:rsid w:val="003E7623"/>
    <w:rsid w:val="0042547F"/>
    <w:rsid w:val="004401F0"/>
    <w:rsid w:val="00463E17"/>
    <w:rsid w:val="004675DD"/>
    <w:rsid w:val="0048522B"/>
    <w:rsid w:val="004B488B"/>
    <w:rsid w:val="0050473D"/>
    <w:rsid w:val="00505683"/>
    <w:rsid w:val="00516CDB"/>
    <w:rsid w:val="00574BF3"/>
    <w:rsid w:val="0059555B"/>
    <w:rsid w:val="005A0B83"/>
    <w:rsid w:val="005B14D5"/>
    <w:rsid w:val="005E58B6"/>
    <w:rsid w:val="005F4452"/>
    <w:rsid w:val="0060749B"/>
    <w:rsid w:val="006A3466"/>
    <w:rsid w:val="00713ECE"/>
    <w:rsid w:val="00732667"/>
    <w:rsid w:val="00775A90"/>
    <w:rsid w:val="007A1EC0"/>
    <w:rsid w:val="007F0A3C"/>
    <w:rsid w:val="007F1E7F"/>
    <w:rsid w:val="007F54C6"/>
    <w:rsid w:val="00817C73"/>
    <w:rsid w:val="008407D0"/>
    <w:rsid w:val="0086076D"/>
    <w:rsid w:val="0088209C"/>
    <w:rsid w:val="008A2167"/>
    <w:rsid w:val="008B28A6"/>
    <w:rsid w:val="00920AB1"/>
    <w:rsid w:val="009455EE"/>
    <w:rsid w:val="00951583"/>
    <w:rsid w:val="009A7F75"/>
    <w:rsid w:val="00A13D59"/>
    <w:rsid w:val="00A23412"/>
    <w:rsid w:val="00A31ED8"/>
    <w:rsid w:val="00AA45B8"/>
    <w:rsid w:val="00AA4986"/>
    <w:rsid w:val="00AD6CB3"/>
    <w:rsid w:val="00AF418D"/>
    <w:rsid w:val="00B42ABA"/>
    <w:rsid w:val="00B64DA6"/>
    <w:rsid w:val="00B95398"/>
    <w:rsid w:val="00BA7DBA"/>
    <w:rsid w:val="00BB0881"/>
    <w:rsid w:val="00C00E7B"/>
    <w:rsid w:val="00C07D8C"/>
    <w:rsid w:val="00C17D56"/>
    <w:rsid w:val="00C63851"/>
    <w:rsid w:val="00C64626"/>
    <w:rsid w:val="00C91CEC"/>
    <w:rsid w:val="00C966E7"/>
    <w:rsid w:val="00C97591"/>
    <w:rsid w:val="00CA114A"/>
    <w:rsid w:val="00D31F29"/>
    <w:rsid w:val="00D82F50"/>
    <w:rsid w:val="00DB06CE"/>
    <w:rsid w:val="00DC7634"/>
    <w:rsid w:val="00E749AB"/>
    <w:rsid w:val="00E83274"/>
    <w:rsid w:val="00E8456C"/>
    <w:rsid w:val="00E90989"/>
    <w:rsid w:val="00EE701C"/>
    <w:rsid w:val="00F02521"/>
    <w:rsid w:val="00F030F5"/>
    <w:rsid w:val="00F3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5C1300"/>
  <w15:chartTrackingRefBased/>
  <w15:docId w15:val="{A03E4395-8C8F-4383-874C-7E11FE93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6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966E7"/>
    <w:rPr>
      <w:rFonts w:ascii="Tahoma" w:hAnsi="Tahoma" w:cs="Tahoma"/>
      <w:sz w:val="16"/>
      <w:szCs w:val="16"/>
    </w:rPr>
  </w:style>
  <w:style w:type="table" w:styleId="TableGrid">
    <w:name w:val="Table Grid"/>
    <w:basedOn w:val="TableNormal"/>
    <w:uiPriority w:val="39"/>
    <w:rsid w:val="00C9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A70C1"/>
    <w:rPr>
      <w:color w:val="0000FF"/>
      <w:u w:val="single"/>
    </w:rPr>
  </w:style>
  <w:style w:type="paragraph" w:customStyle="1" w:styleId="DocumentLabel">
    <w:name w:val="Document Label"/>
    <w:basedOn w:val="Normal"/>
    <w:qFormat/>
    <w:rsid w:val="00A13D59"/>
    <w:pPr>
      <w:keepNext/>
      <w:keepLines/>
      <w:spacing w:before="880" w:after="120" w:line="264" w:lineRule="auto"/>
      <w:ind w:left="576"/>
    </w:pPr>
    <w:rPr>
      <w:rFonts w:ascii="Cambria" w:eastAsia="Times New Roman" w:hAnsi="Cambria"/>
      <w:kern w:val="28"/>
      <w:sz w:val="148"/>
      <w:szCs w:val="20"/>
      <w:lang w:val="en-US"/>
    </w:rPr>
  </w:style>
  <w:style w:type="paragraph" w:styleId="MessageHeader">
    <w:name w:val="Message Header"/>
    <w:basedOn w:val="BodyText"/>
    <w:link w:val="MessageHeaderChar"/>
    <w:qFormat/>
    <w:rsid w:val="00A13D59"/>
    <w:pPr>
      <w:keepLines/>
      <w:tabs>
        <w:tab w:val="left" w:pos="720"/>
        <w:tab w:val="left" w:pos="4320"/>
        <w:tab w:val="left" w:pos="5040"/>
        <w:tab w:val="right" w:pos="8640"/>
      </w:tabs>
      <w:spacing w:before="280" w:after="40" w:line="264" w:lineRule="auto"/>
      <w:ind w:left="720" w:hanging="720"/>
    </w:pPr>
    <w:rPr>
      <w:rFonts w:eastAsia="Times New Roman"/>
      <w:caps/>
      <w:sz w:val="16"/>
      <w:szCs w:val="20"/>
      <w:lang w:val="en-US"/>
    </w:rPr>
  </w:style>
  <w:style w:type="character" w:customStyle="1" w:styleId="MessageHeaderChar">
    <w:name w:val="Message Header Char"/>
    <w:link w:val="MessageHeader"/>
    <w:rsid w:val="00A13D59"/>
    <w:rPr>
      <w:rFonts w:eastAsia="Times New Roman" w:cs="Times New Roman"/>
      <w:caps/>
      <w:sz w:val="16"/>
      <w:szCs w:val="20"/>
      <w:lang w:val="en-US"/>
    </w:rPr>
  </w:style>
  <w:style w:type="character" w:styleId="PlaceholderText">
    <w:name w:val="Placeholder Text"/>
    <w:basedOn w:val="DefaultParagraphFont"/>
    <w:uiPriority w:val="99"/>
    <w:semiHidden/>
    <w:rsid w:val="00A13D59"/>
  </w:style>
  <w:style w:type="paragraph" w:customStyle="1" w:styleId="MessageBody">
    <w:name w:val="Message Body"/>
    <w:basedOn w:val="Normal"/>
    <w:qFormat/>
    <w:rsid w:val="00A13D59"/>
    <w:pPr>
      <w:keepLines/>
      <w:tabs>
        <w:tab w:val="left" w:pos="720"/>
        <w:tab w:val="left" w:pos="4320"/>
        <w:tab w:val="left" w:pos="5040"/>
        <w:tab w:val="right" w:pos="8640"/>
      </w:tabs>
      <w:spacing w:before="280" w:after="40" w:line="264" w:lineRule="auto"/>
      <w:ind w:left="720" w:hanging="720"/>
    </w:pPr>
    <w:rPr>
      <w:rFonts w:eastAsia="Times New Roman"/>
      <w:sz w:val="16"/>
      <w:szCs w:val="20"/>
      <w:lang w:val="en-US"/>
    </w:rPr>
  </w:style>
  <w:style w:type="paragraph" w:styleId="BodyText">
    <w:name w:val="Body Text"/>
    <w:basedOn w:val="Normal"/>
    <w:link w:val="BodyTextChar"/>
    <w:uiPriority w:val="99"/>
    <w:semiHidden/>
    <w:unhideWhenUsed/>
    <w:rsid w:val="00A13D59"/>
    <w:pPr>
      <w:spacing w:after="120"/>
    </w:pPr>
  </w:style>
  <w:style w:type="character" w:customStyle="1" w:styleId="BodyTextChar">
    <w:name w:val="Body Text Char"/>
    <w:basedOn w:val="DefaultParagraphFont"/>
    <w:link w:val="BodyText"/>
    <w:uiPriority w:val="99"/>
    <w:semiHidden/>
    <w:rsid w:val="00A13D59"/>
  </w:style>
  <w:style w:type="paragraph" w:customStyle="1" w:styleId="ActionOptions">
    <w:name w:val="Action Options"/>
    <w:basedOn w:val="MessageHeader"/>
    <w:next w:val="BodyText"/>
    <w:qFormat/>
    <w:rsid w:val="00A13D59"/>
    <w:pPr>
      <w:pBdr>
        <w:between w:val="single" w:sz="6" w:space="1" w:color="auto"/>
      </w:pBdr>
      <w:tabs>
        <w:tab w:val="clear" w:pos="720"/>
        <w:tab w:val="clear" w:pos="4320"/>
        <w:tab w:val="clear" w:pos="5040"/>
        <w:tab w:val="clear" w:pos="8640"/>
        <w:tab w:val="left" w:pos="2102"/>
        <w:tab w:val="left" w:pos="3773"/>
        <w:tab w:val="left" w:pos="5875"/>
        <w:tab w:val="left" w:pos="7675"/>
      </w:tabs>
      <w:spacing w:before="400" w:after="400"/>
      <w:ind w:left="864" w:firstLine="0"/>
    </w:pPr>
    <w:rPr>
      <w:caps w:val="0"/>
      <w:sz w:val="18"/>
    </w:rPr>
  </w:style>
  <w:style w:type="paragraph" w:styleId="Header">
    <w:name w:val="header"/>
    <w:basedOn w:val="Normal"/>
    <w:link w:val="HeaderChar"/>
    <w:unhideWhenUsed/>
    <w:rsid w:val="00C17D56"/>
    <w:pPr>
      <w:tabs>
        <w:tab w:val="center" w:pos="4680"/>
        <w:tab w:val="right" w:pos="9360"/>
      </w:tabs>
    </w:pPr>
  </w:style>
  <w:style w:type="character" w:customStyle="1" w:styleId="HeaderChar">
    <w:name w:val="Header Char"/>
    <w:link w:val="Header"/>
    <w:rsid w:val="00C17D56"/>
    <w:rPr>
      <w:sz w:val="22"/>
      <w:szCs w:val="22"/>
      <w:lang w:eastAsia="en-US"/>
    </w:rPr>
  </w:style>
  <w:style w:type="paragraph" w:styleId="Footer">
    <w:name w:val="footer"/>
    <w:basedOn w:val="Normal"/>
    <w:link w:val="FooterChar"/>
    <w:uiPriority w:val="99"/>
    <w:unhideWhenUsed/>
    <w:rsid w:val="00C17D56"/>
    <w:pPr>
      <w:tabs>
        <w:tab w:val="center" w:pos="4680"/>
        <w:tab w:val="right" w:pos="9360"/>
      </w:tabs>
    </w:pPr>
  </w:style>
  <w:style w:type="character" w:customStyle="1" w:styleId="FooterChar">
    <w:name w:val="Footer Char"/>
    <w:link w:val="Footer"/>
    <w:uiPriority w:val="99"/>
    <w:rsid w:val="00C17D56"/>
    <w:rPr>
      <w:sz w:val="22"/>
      <w:szCs w:val="22"/>
      <w:lang w:eastAsia="en-US"/>
    </w:rPr>
  </w:style>
  <w:style w:type="paragraph" w:styleId="ListParagraph">
    <w:name w:val="List Paragraph"/>
    <w:basedOn w:val="Normal"/>
    <w:uiPriority w:val="34"/>
    <w:qFormat/>
    <w:rsid w:val="00C00E7B"/>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semiHidden/>
    <w:rsid w:val="0060749B"/>
    <w:pPr>
      <w:spacing w:before="100" w:beforeAutospacing="1" w:after="100" w:afterAutospacing="1" w:line="240" w:lineRule="auto"/>
    </w:pPr>
    <w:rPr>
      <w:rFonts w:ascii="Times New Roman" w:hAnsi="Times New Roman"/>
      <w:sz w:val="24"/>
      <w:szCs w:val="24"/>
      <w:lang w:eastAsia="en-GB"/>
    </w:rPr>
  </w:style>
  <w:style w:type="character" w:styleId="FollowedHyperlink">
    <w:name w:val="FollowedHyperlink"/>
    <w:uiPriority w:val="99"/>
    <w:semiHidden/>
    <w:unhideWhenUsed/>
    <w:rsid w:val="00F379DC"/>
    <w:rPr>
      <w:color w:val="800080"/>
      <w:u w:val="single"/>
    </w:rPr>
  </w:style>
  <w:style w:type="paragraph" w:customStyle="1" w:styleId="Default">
    <w:name w:val="Default"/>
    <w:rsid w:val="00EE701C"/>
    <w:pPr>
      <w:autoSpaceDE w:val="0"/>
      <w:autoSpaceDN w:val="0"/>
      <w:adjustRightInd w:val="0"/>
    </w:pPr>
    <w:rPr>
      <w:rFonts w:ascii="Arial" w:hAnsi="Arial" w:cs="Arial"/>
      <w:color w:val="000000"/>
      <w:sz w:val="24"/>
      <w:szCs w:val="24"/>
    </w:rPr>
  </w:style>
  <w:style w:type="character" w:styleId="Strong">
    <w:name w:val="Strong"/>
    <w:uiPriority w:val="22"/>
    <w:qFormat/>
    <w:rsid w:val="00B953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global/contact-us/" TargetMode="External"/><Relationship Id="rId4" Type="http://schemas.openxmlformats.org/officeDocument/2006/relationships/settings" Target="settings.xml"/><Relationship Id="rId9" Type="http://schemas.openxmlformats.org/officeDocument/2006/relationships/hyperlink" Target="https://digital.nhs.uk/article/1202/Records-Management-Code-of-Practice-for-Health-and-Social-Care-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52A8-325F-47EA-A1E1-799890C9F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North East Essex</Company>
  <LinksUpToDate>false</LinksUpToDate>
  <CharactersWithSpaces>4328</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6488106</vt:i4>
      </vt:variant>
      <vt:variant>
        <vt:i4>0</vt:i4>
      </vt:variant>
      <vt:variant>
        <vt:i4>0</vt:i4>
      </vt:variant>
      <vt:variant>
        <vt:i4>5</vt:i4>
      </vt:variant>
      <vt:variant>
        <vt:lpwstr>https://digital.nhs.uk/article/1202/Records-Management-Code-of-Practice-for-Health-and-Social-Care-2016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Hendon</dc:creator>
  <cp:keywords/>
  <cp:lastModifiedBy>Amy Griffiths</cp:lastModifiedBy>
  <cp:revision>2</cp:revision>
  <cp:lastPrinted>2018-05-24T09:26:00Z</cp:lastPrinted>
  <dcterms:created xsi:type="dcterms:W3CDTF">2022-07-26T10:24:00Z</dcterms:created>
  <dcterms:modified xsi:type="dcterms:W3CDTF">2022-07-26T10:24:00Z</dcterms:modified>
</cp:coreProperties>
</file>