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</w:tblGrid>
      <w:tr w:rsidR="00F02521" w:rsidRPr="00E90989" w14:paraId="103017A1" w14:textId="77777777" w:rsidTr="001D6101">
        <w:trPr>
          <w:trHeight w:val="235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0ACA8" w14:textId="77777777" w:rsidR="00F02521" w:rsidRPr="00E90989" w:rsidRDefault="00F02521" w:rsidP="00E90989">
            <w:pPr>
              <w:spacing w:after="0" w:line="240" w:lineRule="auto"/>
              <w:rPr>
                <w:b/>
              </w:rPr>
            </w:pPr>
            <w:r w:rsidRPr="00E90989">
              <w:rPr>
                <w:b/>
              </w:rPr>
              <w:t xml:space="preserve">Dr. </w:t>
            </w:r>
            <w:r w:rsidR="00463E17">
              <w:rPr>
                <w:b/>
              </w:rPr>
              <w:t>J.P. Hopcroft</w:t>
            </w:r>
          </w:p>
          <w:p w14:paraId="068C88CB" w14:textId="77777777" w:rsidR="00F02521" w:rsidRPr="00E90989" w:rsidRDefault="00463E17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R.T. Summers</w:t>
            </w:r>
          </w:p>
          <w:p w14:paraId="58688C77" w14:textId="77777777" w:rsidR="00F02521" w:rsidRPr="00E90989" w:rsidRDefault="00463E17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C.J. Wright</w:t>
            </w:r>
          </w:p>
          <w:p w14:paraId="3DE19E54" w14:textId="77777777" w:rsidR="00F02521" w:rsidRPr="00E90989" w:rsidRDefault="00463E17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A. Mayet</w:t>
            </w:r>
          </w:p>
          <w:p w14:paraId="1383C1FA" w14:textId="77777777" w:rsidR="00F02521" w:rsidRPr="00E90989" w:rsidRDefault="00463E17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P. Afsar</w:t>
            </w:r>
          </w:p>
          <w:p w14:paraId="40B555E8" w14:textId="77777777" w:rsidR="00F02521" w:rsidRDefault="00463E17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N. Skaria</w:t>
            </w:r>
          </w:p>
          <w:p w14:paraId="07AD8711" w14:textId="77777777" w:rsidR="00F02521" w:rsidRDefault="00385D7B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gramStart"/>
            <w:r w:rsidR="000D3788">
              <w:rPr>
                <w:b/>
              </w:rPr>
              <w:t>G.</w:t>
            </w:r>
            <w:r>
              <w:rPr>
                <w:b/>
              </w:rPr>
              <w:t>Rajarathinam</w:t>
            </w:r>
            <w:proofErr w:type="gramEnd"/>
          </w:p>
          <w:p w14:paraId="27234C3A" w14:textId="77777777" w:rsidR="001D6101" w:rsidRPr="0086076D" w:rsidRDefault="001D6101" w:rsidP="00E90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S. Keegan</w:t>
            </w:r>
          </w:p>
        </w:tc>
      </w:tr>
    </w:tbl>
    <w:p w14:paraId="200724B3" w14:textId="77777777" w:rsidR="00E90989" w:rsidRPr="00E90989" w:rsidRDefault="00E90989" w:rsidP="00E90989">
      <w:pPr>
        <w:spacing w:after="0"/>
        <w:rPr>
          <w:vanish/>
        </w:rPr>
      </w:pPr>
    </w:p>
    <w:tbl>
      <w:tblPr>
        <w:tblpPr w:leftFromText="180" w:rightFromText="180" w:vertAnchor="text" w:horzAnchor="page" w:tblpX="9418" w:tblpY="-355"/>
        <w:tblW w:w="0" w:type="auto"/>
        <w:tblLook w:val="04A0" w:firstRow="1" w:lastRow="0" w:firstColumn="1" w:lastColumn="0" w:noHBand="0" w:noVBand="1"/>
      </w:tblPr>
      <w:tblGrid>
        <w:gridCol w:w="2451"/>
      </w:tblGrid>
      <w:tr w:rsidR="002A70C1" w:rsidRPr="00E90989" w14:paraId="22BF1CCA" w14:textId="77777777" w:rsidTr="00E90989">
        <w:trPr>
          <w:trHeight w:val="911"/>
        </w:trPr>
        <w:tc>
          <w:tcPr>
            <w:tcW w:w="1916" w:type="dxa"/>
            <w:shd w:val="clear" w:color="auto" w:fill="auto"/>
          </w:tcPr>
          <w:p w14:paraId="4D17BD1F" w14:textId="54E86FEF" w:rsidR="002A70C1" w:rsidRPr="00E90989" w:rsidRDefault="008062AD" w:rsidP="00E90989">
            <w:pPr>
              <w:spacing w:after="0" w:line="240" w:lineRule="auto"/>
              <w:jc w:val="center"/>
            </w:pPr>
            <w:r w:rsidRPr="00DF5605">
              <w:rPr>
                <w:noProof/>
                <w:lang w:eastAsia="en-GB"/>
              </w:rPr>
              <w:drawing>
                <wp:inline distT="0" distB="0" distL="0" distR="0" wp14:anchorId="23C34267" wp14:editId="5B0B2071">
                  <wp:extent cx="1419225" cy="1095375"/>
                  <wp:effectExtent l="0" t="0" r="0" b="0"/>
                  <wp:docPr id="1" name="Picture 3" descr="Description: illustration of the surg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illustration of the surg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032A6" w14:textId="2F1D653C" w:rsidR="00C966E7" w:rsidRDefault="008062AD" w:rsidP="00C966E7">
      <w:pPr>
        <w:jc w:val="cen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6DF0DBED" wp14:editId="768CE9EC">
                <wp:extent cx="3145155" cy="369570"/>
                <wp:effectExtent l="0" t="0" r="0" b="0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51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D1CD9B" w14:textId="77777777" w:rsidR="005E58B6" w:rsidRPr="00E90989" w:rsidRDefault="005E58B6" w:rsidP="002A70C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</w:pPr>
                            <w:r w:rsidRPr="00E90989">
                              <w:rPr>
                                <w:rFonts w:ascii="Verdana" w:hAnsi="Verdana"/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t>FERN HOUSE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0DB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7.65pt;height:29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" filled="f" stroked="f">
                <v:textbox style="mso-fit-shape-to-text:t">
                  <w:txbxContent>
                    <w:p w14:paraId="40D1CD9B" w14:textId="77777777" w:rsidR="005E58B6" w:rsidRPr="00E90989" w:rsidRDefault="005E58B6" w:rsidP="002A70C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i/>
                          <w:noProof/>
                          <w:sz w:val="36"/>
                          <w:szCs w:val="36"/>
                        </w:rPr>
                      </w:pPr>
                      <w:r w:rsidRPr="00E90989">
                        <w:rPr>
                          <w:rFonts w:ascii="Verdana" w:hAnsi="Verdana"/>
                          <w:b/>
                          <w:i/>
                          <w:noProof/>
                          <w:sz w:val="36"/>
                          <w:szCs w:val="36"/>
                        </w:rPr>
                        <w:t>FERN HOUSE SURGERY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2521">
        <w:rPr>
          <w:rFonts w:ascii="Verdana" w:hAnsi="Verdana"/>
          <w:noProof/>
          <w:sz w:val="23"/>
          <w:szCs w:val="23"/>
          <w:lang w:eastAsia="en-GB"/>
        </w:rPr>
        <w:t xml:space="preserve"> </w:t>
      </w:r>
    </w:p>
    <w:tbl>
      <w:tblPr>
        <w:tblpPr w:leftFromText="180" w:rightFromText="180" w:vertAnchor="text" w:horzAnchor="margin" w:tblpXSpec="center" w:tblpY="829"/>
        <w:tblW w:w="0" w:type="auto"/>
        <w:tblLook w:val="04A0" w:firstRow="1" w:lastRow="0" w:firstColumn="1" w:lastColumn="0" w:noHBand="0" w:noVBand="1"/>
      </w:tblPr>
      <w:tblGrid>
        <w:gridCol w:w="4871"/>
      </w:tblGrid>
      <w:tr w:rsidR="00C966E7" w:rsidRPr="00E90989" w14:paraId="5557BB89" w14:textId="77777777" w:rsidTr="0086076D">
        <w:trPr>
          <w:trHeight w:val="1784"/>
        </w:trPr>
        <w:tc>
          <w:tcPr>
            <w:tcW w:w="4871" w:type="dxa"/>
            <w:shd w:val="clear" w:color="auto" w:fill="auto"/>
          </w:tcPr>
          <w:p w14:paraId="2063C5CD" w14:textId="77777777" w:rsidR="002A70C1" w:rsidRPr="00E90989" w:rsidRDefault="002A70C1" w:rsidP="00E90989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</w:p>
          <w:p w14:paraId="2EA8057E" w14:textId="77777777" w:rsidR="003951F8" w:rsidRDefault="003951F8" w:rsidP="003951F8">
            <w:pPr>
              <w:pStyle w:val="Header"/>
              <w:jc w:val="center"/>
              <w:rPr>
                <w:b/>
                <w:noProof/>
                <w:sz w:val="36"/>
                <w:szCs w:val="36"/>
                <w:lang w:eastAsia="en-GB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t xml:space="preserve">Privacy </w:t>
            </w:r>
            <w:r w:rsidRPr="00CA7472">
              <w:rPr>
                <w:b/>
                <w:noProof/>
                <w:sz w:val="36"/>
                <w:szCs w:val="36"/>
                <w:lang w:eastAsia="en-GB"/>
              </w:rPr>
              <w:t>Notice</w:t>
            </w:r>
          </w:p>
          <w:p w14:paraId="7EE77934" w14:textId="77777777" w:rsidR="003951F8" w:rsidRDefault="00DB6E13" w:rsidP="003951F8">
            <w:pPr>
              <w:pStyle w:val="Header"/>
              <w:jc w:val="center"/>
              <w:rPr>
                <w:b/>
                <w:noProof/>
                <w:sz w:val="36"/>
                <w:szCs w:val="36"/>
                <w:lang w:eastAsia="en-GB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t>DVLA</w:t>
            </w:r>
          </w:p>
          <w:p w14:paraId="1121B635" w14:textId="77777777" w:rsidR="002A70C1" w:rsidRPr="00E90989" w:rsidRDefault="002A70C1" w:rsidP="00E90989">
            <w:pPr>
              <w:spacing w:after="0" w:line="240" w:lineRule="auto"/>
              <w:jc w:val="center"/>
            </w:pPr>
          </w:p>
        </w:tc>
      </w:tr>
    </w:tbl>
    <w:p w14:paraId="21C25E06" w14:textId="77777777" w:rsidR="00C966E7" w:rsidRPr="00C966E7" w:rsidRDefault="00C966E7" w:rsidP="00C966E7">
      <w:pPr>
        <w:spacing w:after="0" w:line="240" w:lineRule="auto"/>
        <w:jc w:val="center"/>
        <w:rPr>
          <w:b/>
          <w:noProof/>
          <w:lang w:eastAsia="en-GB"/>
        </w:rPr>
      </w:pPr>
    </w:p>
    <w:p w14:paraId="389DCB32" w14:textId="77777777" w:rsidR="008A2167" w:rsidRDefault="008A2167" w:rsidP="00C966E7">
      <w:pPr>
        <w:jc w:val="right"/>
      </w:pPr>
    </w:p>
    <w:p w14:paraId="18890DCA" w14:textId="77777777" w:rsidR="00C966E7" w:rsidRDefault="00C966E7" w:rsidP="00C966E7">
      <w:pPr>
        <w:jc w:val="righ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5CE2C2F1" w14:textId="77777777" w:rsidR="002A70C1" w:rsidRDefault="002A70C1" w:rsidP="00C966E7">
      <w:pPr>
        <w:jc w:val="right"/>
      </w:pPr>
    </w:p>
    <w:p w14:paraId="025D791D" w14:textId="77777777" w:rsidR="002A70C1" w:rsidRDefault="002A70C1" w:rsidP="002A70C1">
      <w:pPr>
        <w:jc w:val="center"/>
      </w:pPr>
    </w:p>
    <w:p w14:paraId="56FBEDAE" w14:textId="77777777" w:rsidR="00B42ABA" w:rsidRDefault="00B42ABA" w:rsidP="00775A90">
      <w:pPr>
        <w:spacing w:after="0"/>
      </w:pPr>
    </w:p>
    <w:p w14:paraId="19DA0322" w14:textId="77777777" w:rsidR="0086076D" w:rsidRDefault="0086076D" w:rsidP="00775A90">
      <w:pPr>
        <w:spacing w:after="0"/>
      </w:pPr>
    </w:p>
    <w:p w14:paraId="5BB6EE71" w14:textId="77777777" w:rsidR="0086076D" w:rsidRDefault="0086076D" w:rsidP="00775A90">
      <w:pPr>
        <w:spacing w:after="0"/>
      </w:pPr>
    </w:p>
    <w:p w14:paraId="13E63CA5" w14:textId="77777777" w:rsidR="00463E17" w:rsidRDefault="0086076D" w:rsidP="00775A90">
      <w:pPr>
        <w:spacing w:after="0"/>
      </w:pPr>
      <w:r>
        <w:t>_______________________________________________________________________________________</w:t>
      </w:r>
    </w:p>
    <w:p w14:paraId="02B14662" w14:textId="77777777" w:rsidR="00FB5B42" w:rsidRDefault="00FB5B42" w:rsidP="00FB5B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5E5D92B" w14:textId="77777777" w:rsidR="00DB6E13" w:rsidRDefault="00DB6E13" w:rsidP="00DB6E13">
      <w:pPr>
        <w:spacing w:after="0" w:line="240" w:lineRule="auto"/>
        <w:jc w:val="both"/>
        <w:rPr>
          <w:color w:val="000000"/>
          <w:lang w:eastAsia="en-GB"/>
        </w:rPr>
      </w:pPr>
      <w:r w:rsidRPr="00DA2251">
        <w:rPr>
          <w:color w:val="000000"/>
          <w:lang w:eastAsia="en-GB"/>
        </w:rPr>
        <w:t>Applicants and licence holders have a legal duty to notify the DVLA of any injury or illness that would have a likely impact on safe driving ability.</w:t>
      </w:r>
    </w:p>
    <w:p w14:paraId="3DC92FF9" w14:textId="77777777" w:rsidR="00DB6E13" w:rsidRPr="00DA2251" w:rsidRDefault="00DB6E13" w:rsidP="00DB6E13">
      <w:pPr>
        <w:spacing w:after="0" w:line="240" w:lineRule="auto"/>
        <w:jc w:val="both"/>
        <w:rPr>
          <w:color w:val="000000"/>
          <w:lang w:eastAsia="en-GB"/>
        </w:rPr>
      </w:pPr>
    </w:p>
    <w:p w14:paraId="6A423CC5" w14:textId="77777777" w:rsidR="00DB6E13" w:rsidRPr="00DA2251" w:rsidRDefault="00DB6E13" w:rsidP="00DB6E13">
      <w:pPr>
        <w:spacing w:after="0" w:line="240" w:lineRule="auto"/>
        <w:jc w:val="both"/>
        <w:rPr>
          <w:color w:val="000000"/>
          <w:lang w:eastAsia="en-GB"/>
        </w:rPr>
      </w:pPr>
      <w:r w:rsidRPr="00DA2251">
        <w:rPr>
          <w:color w:val="000000"/>
          <w:lang w:eastAsia="en-GB"/>
        </w:rPr>
        <w:t xml:space="preserve">GPs are obliged to notify the DVLA when fitness to drive requires </w:t>
      </w:r>
      <w:proofErr w:type="gramStart"/>
      <w:r w:rsidRPr="00DA2251">
        <w:rPr>
          <w:color w:val="000000"/>
          <w:lang w:eastAsia="en-GB"/>
        </w:rPr>
        <w:t>notification</w:t>
      </w:r>
      <w:proofErr w:type="gramEnd"/>
      <w:r w:rsidRPr="00DA2251">
        <w:rPr>
          <w:color w:val="000000"/>
          <w:lang w:eastAsia="en-GB"/>
        </w:rPr>
        <w:t xml:space="preserve"> but an individual cannot or will not notify the DVLA themselves, and if there is concern for road safety, which would be for both the individual and the wider public.</w:t>
      </w:r>
    </w:p>
    <w:p w14:paraId="0A223F31" w14:textId="77777777" w:rsidR="00FB5B42" w:rsidRPr="00FE609D" w:rsidRDefault="00FB5B42" w:rsidP="00FB5B42">
      <w:pPr>
        <w:spacing w:after="0" w:line="240" w:lineRule="auto"/>
        <w:jc w:val="both"/>
        <w:rPr>
          <w:color w:val="000000"/>
          <w:lang w:eastAsia="en-GB"/>
        </w:rPr>
      </w:pPr>
    </w:p>
    <w:p w14:paraId="5EDEE44F" w14:textId="77777777" w:rsidR="00FB5B42" w:rsidRPr="00FE609D" w:rsidRDefault="00FB5B42" w:rsidP="00FB5B42">
      <w:pPr>
        <w:spacing w:after="0" w:line="240" w:lineRule="auto"/>
        <w:jc w:val="both"/>
        <w:rPr>
          <w:color w:val="000000"/>
          <w:lang w:eastAsia="en-GB"/>
        </w:rPr>
      </w:pPr>
      <w:r w:rsidRPr="00FE609D">
        <w:rPr>
          <w:color w:val="000000"/>
          <w:lang w:eastAsia="en-GB"/>
        </w:rPr>
        <w:t>We are required by Articles in the General Data Protection Regulations to provide you with the information in the following 9 subsections.</w:t>
      </w:r>
    </w:p>
    <w:p w14:paraId="27E99CAB" w14:textId="77777777" w:rsidR="00B95398" w:rsidRDefault="00B95398" w:rsidP="00B95398">
      <w:pPr>
        <w:rPr>
          <w:rFonts w:cs="Calibri"/>
        </w:rPr>
      </w:pPr>
    </w:p>
    <w:p w14:paraId="482C0A29" w14:textId="77777777" w:rsidR="00FB5B42" w:rsidRPr="007F54C6" w:rsidRDefault="00FB5B42" w:rsidP="00B9539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B95398" w:rsidRPr="007F54C6" w14:paraId="46DBEE2E" w14:textId="77777777" w:rsidTr="000A1085">
        <w:tc>
          <w:tcPr>
            <w:tcW w:w="2405" w:type="dxa"/>
            <w:shd w:val="clear" w:color="auto" w:fill="auto"/>
          </w:tcPr>
          <w:p w14:paraId="5C8EB004" w14:textId="77777777" w:rsidR="00B95398" w:rsidRPr="007F54C6" w:rsidRDefault="00B95398" w:rsidP="000A1085">
            <w:pPr>
              <w:rPr>
                <w:rFonts w:cs="Calibri"/>
                <w:b/>
                <w:color w:val="000000"/>
                <w:lang w:eastAsia="en-GB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 xml:space="preserve">Data Controller </w:t>
            </w:r>
            <w:r w:rsidRPr="007F54C6">
              <w:rPr>
                <w:rFonts w:cs="Calibri"/>
                <w:color w:val="000000"/>
                <w:lang w:eastAsia="en-GB"/>
              </w:rPr>
              <w:t>contact details</w:t>
            </w:r>
          </w:p>
        </w:tc>
        <w:tc>
          <w:tcPr>
            <w:tcW w:w="6611" w:type="dxa"/>
            <w:shd w:val="clear" w:color="auto" w:fill="auto"/>
          </w:tcPr>
          <w:p w14:paraId="69038396" w14:textId="77777777" w:rsidR="00B95398" w:rsidRPr="007F54C6" w:rsidRDefault="00B95398" w:rsidP="000A1085">
            <w:pPr>
              <w:rPr>
                <w:rFonts w:cs="Calibri"/>
                <w:lang w:eastAsia="en-GB"/>
              </w:rPr>
            </w:pPr>
            <w:r w:rsidRPr="007F54C6">
              <w:rPr>
                <w:rFonts w:cs="Calibri"/>
                <w:lang w:eastAsia="en-GB"/>
              </w:rPr>
              <w:t>Fern House Surgery, 125 – 129 Newland</w:t>
            </w:r>
            <w:r w:rsidR="00BA7DBA" w:rsidRPr="007F54C6">
              <w:rPr>
                <w:rFonts w:cs="Calibri"/>
                <w:lang w:eastAsia="en-GB"/>
              </w:rPr>
              <w:t xml:space="preserve"> Street, Witham, Essex CM8 1BH </w:t>
            </w:r>
          </w:p>
        </w:tc>
      </w:tr>
      <w:tr w:rsidR="00B95398" w:rsidRPr="007F54C6" w14:paraId="78B6240A" w14:textId="77777777" w:rsidTr="000A1085">
        <w:tc>
          <w:tcPr>
            <w:tcW w:w="2405" w:type="dxa"/>
            <w:shd w:val="clear" w:color="auto" w:fill="auto"/>
          </w:tcPr>
          <w:p w14:paraId="7E4D28A2" w14:textId="77777777" w:rsidR="00CA114A" w:rsidRPr="007F54C6" w:rsidRDefault="00B95398" w:rsidP="000A1085">
            <w:pPr>
              <w:rPr>
                <w:rFonts w:cs="Calibri"/>
                <w:color w:val="000000"/>
                <w:lang w:eastAsia="en-GB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 xml:space="preserve">Data Protection Officer </w:t>
            </w:r>
            <w:r w:rsidRPr="007F54C6">
              <w:rPr>
                <w:rFonts w:cs="Calibri"/>
                <w:color w:val="000000"/>
                <w:lang w:eastAsia="en-GB"/>
              </w:rPr>
              <w:t>contact details</w:t>
            </w:r>
          </w:p>
        </w:tc>
        <w:tc>
          <w:tcPr>
            <w:tcW w:w="6611" w:type="dxa"/>
            <w:shd w:val="clear" w:color="auto" w:fill="auto"/>
          </w:tcPr>
          <w:p w14:paraId="711CCB74" w14:textId="77777777" w:rsidR="00B95398" w:rsidRPr="007F54C6" w:rsidRDefault="00B95398" w:rsidP="000A1085">
            <w:pPr>
              <w:rPr>
                <w:rFonts w:cs="Calibri"/>
                <w:lang w:eastAsia="en-GB"/>
              </w:rPr>
            </w:pPr>
            <w:r w:rsidRPr="007F54C6">
              <w:rPr>
                <w:rFonts w:cs="Calibri"/>
                <w:lang w:eastAsia="en-GB"/>
              </w:rPr>
              <w:t>Information Governance Lead, Fern House Surgery, 125 – 129 Newland</w:t>
            </w:r>
            <w:r w:rsidR="00BA7DBA" w:rsidRPr="007F54C6">
              <w:rPr>
                <w:rFonts w:cs="Calibri"/>
                <w:lang w:eastAsia="en-GB"/>
              </w:rPr>
              <w:t xml:space="preserve"> Street, Witham, Essex CM8 1BH </w:t>
            </w:r>
          </w:p>
        </w:tc>
      </w:tr>
      <w:tr w:rsidR="00B95398" w:rsidRPr="007F54C6" w14:paraId="6BA3D2CA" w14:textId="77777777" w:rsidTr="000A1085">
        <w:tc>
          <w:tcPr>
            <w:tcW w:w="2405" w:type="dxa"/>
            <w:shd w:val="clear" w:color="auto" w:fill="auto"/>
          </w:tcPr>
          <w:p w14:paraId="7E917A0E" w14:textId="77777777" w:rsidR="00B95398" w:rsidRPr="007F54C6" w:rsidRDefault="00B95398" w:rsidP="000A1085">
            <w:pPr>
              <w:rPr>
                <w:rFonts w:cs="Calibri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>Purpose</w:t>
            </w:r>
            <w:r w:rsidRPr="007F54C6">
              <w:rPr>
                <w:rFonts w:cs="Calibri"/>
                <w:color w:val="000000"/>
                <w:lang w:eastAsia="en-GB"/>
              </w:rPr>
              <w:t xml:space="preserve"> of the processing</w:t>
            </w:r>
          </w:p>
        </w:tc>
        <w:tc>
          <w:tcPr>
            <w:tcW w:w="6611" w:type="dxa"/>
            <w:shd w:val="clear" w:color="auto" w:fill="auto"/>
          </w:tcPr>
          <w:p w14:paraId="2E0476FA" w14:textId="77777777" w:rsidR="00DB6E13" w:rsidRDefault="00DB6E13" w:rsidP="00DB6E13">
            <w:pPr>
              <w:spacing w:after="0" w:line="240" w:lineRule="auto"/>
              <w:jc w:val="both"/>
              <w:rPr>
                <w:lang w:eastAsia="en-GB"/>
              </w:rPr>
            </w:pPr>
            <w:r>
              <w:rPr>
                <w:lang w:eastAsia="en-GB"/>
              </w:rPr>
              <w:t>To enable DVLA access to a patient’s medical records or to obtain a GP report for the purposes of their assessment or investigation into driver safety for medical reasons.</w:t>
            </w:r>
          </w:p>
          <w:p w14:paraId="7C553374" w14:textId="77777777" w:rsidR="00B95398" w:rsidRPr="008D19FE" w:rsidRDefault="00B95398" w:rsidP="00BA7DBA">
            <w:pPr>
              <w:pStyle w:val="ListParagraph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398" w:rsidRPr="007F54C6" w14:paraId="1EBD627B" w14:textId="77777777" w:rsidTr="000A1085">
        <w:trPr>
          <w:trHeight w:val="4552"/>
        </w:trPr>
        <w:tc>
          <w:tcPr>
            <w:tcW w:w="2405" w:type="dxa"/>
            <w:shd w:val="clear" w:color="auto" w:fill="auto"/>
          </w:tcPr>
          <w:p w14:paraId="06DA6DB9" w14:textId="77777777" w:rsidR="00B95398" w:rsidRPr="007F54C6" w:rsidRDefault="00B95398" w:rsidP="000A1085">
            <w:pPr>
              <w:rPr>
                <w:rFonts w:cs="Calibri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lastRenderedPageBreak/>
              <w:t>Lawful basis</w:t>
            </w:r>
            <w:r w:rsidRPr="007F54C6">
              <w:rPr>
                <w:rFonts w:cs="Calibri"/>
                <w:color w:val="000000"/>
                <w:lang w:eastAsia="en-GB"/>
              </w:rPr>
              <w:t xml:space="preserve"> for processing</w:t>
            </w:r>
          </w:p>
          <w:p w14:paraId="04AFF9B3" w14:textId="77777777" w:rsidR="00B95398" w:rsidRPr="007F54C6" w:rsidRDefault="00B95398" w:rsidP="000A1085">
            <w:pPr>
              <w:rPr>
                <w:rFonts w:cs="Calibri"/>
              </w:rPr>
            </w:pPr>
          </w:p>
        </w:tc>
        <w:tc>
          <w:tcPr>
            <w:tcW w:w="6611" w:type="dxa"/>
            <w:shd w:val="clear" w:color="auto" w:fill="auto"/>
          </w:tcPr>
          <w:p w14:paraId="6E0AF0F0" w14:textId="77777777" w:rsidR="00B95398" w:rsidRPr="00DB6E13" w:rsidRDefault="00B95398" w:rsidP="000A1085">
            <w:pPr>
              <w:rPr>
                <w:rFonts w:cs="Calibri"/>
                <w:color w:val="000000"/>
                <w:lang w:eastAsia="en-GB"/>
              </w:rPr>
            </w:pPr>
            <w:r w:rsidRPr="00DB6E13">
              <w:rPr>
                <w:rFonts w:cs="Calibri"/>
              </w:rPr>
              <w:t xml:space="preserve">These purposes are </w:t>
            </w:r>
            <w:r w:rsidRPr="00DB6E13">
              <w:rPr>
                <w:rFonts w:cs="Calibri"/>
                <w:color w:val="000000"/>
                <w:lang w:eastAsia="en-GB"/>
              </w:rPr>
              <w:t>supported under the following sections of the GDPR:</w:t>
            </w:r>
          </w:p>
          <w:p w14:paraId="34CA07C5" w14:textId="77777777" w:rsidR="00DB6E13" w:rsidRPr="00DB6E13" w:rsidRDefault="00DB6E13" w:rsidP="00DB6E13">
            <w:pPr>
              <w:rPr>
                <w:color w:val="000000"/>
                <w:lang w:eastAsia="en-GB"/>
              </w:rPr>
            </w:pPr>
            <w:r w:rsidRPr="00DB6E13">
              <w:rPr>
                <w:color w:val="000000"/>
                <w:lang w:eastAsia="en-GB"/>
              </w:rPr>
              <w:t xml:space="preserve">There is a specific legal </w:t>
            </w:r>
            <w:proofErr w:type="gramStart"/>
            <w:r w:rsidRPr="00DB6E13">
              <w:rPr>
                <w:color w:val="000000"/>
                <w:lang w:eastAsia="en-GB"/>
              </w:rPr>
              <w:t>justification;</w:t>
            </w:r>
            <w:proofErr w:type="gramEnd"/>
            <w:r w:rsidRPr="00DB6E13">
              <w:rPr>
                <w:color w:val="000000"/>
                <w:lang w:eastAsia="en-GB"/>
              </w:rPr>
              <w:t xml:space="preserve"> </w:t>
            </w:r>
          </w:p>
          <w:p w14:paraId="4598EFA7" w14:textId="77777777" w:rsidR="00DB6E13" w:rsidRPr="00DB6E13" w:rsidRDefault="00DB6E13" w:rsidP="00DB6E13">
            <w:pPr>
              <w:rPr>
                <w:i/>
              </w:rPr>
            </w:pPr>
            <w:r w:rsidRPr="00DB6E13">
              <w:rPr>
                <w:i/>
                <w:color w:val="000000"/>
                <w:lang w:eastAsia="en-GB"/>
              </w:rPr>
              <w:t>Article 6(1)</w:t>
            </w:r>
            <w:r w:rsidRPr="00DB6E13">
              <w:rPr>
                <w:i/>
              </w:rPr>
              <w:t>(d) “processing is necessary to protect the vital interests of the data subject or of another natural person”</w:t>
            </w:r>
          </w:p>
          <w:p w14:paraId="172EA067" w14:textId="77777777" w:rsidR="00DB6E13" w:rsidRPr="00DB6E13" w:rsidRDefault="00DB6E13" w:rsidP="00DB6E13">
            <w:pPr>
              <w:rPr>
                <w:color w:val="000000"/>
                <w:lang w:eastAsia="en-GB"/>
              </w:rPr>
            </w:pPr>
            <w:r w:rsidRPr="00DB6E13">
              <w:rPr>
                <w:color w:val="000000"/>
                <w:lang w:eastAsia="en-GB"/>
              </w:rPr>
              <w:t xml:space="preserve">And </w:t>
            </w:r>
          </w:p>
          <w:p w14:paraId="72CC54E0" w14:textId="77777777" w:rsidR="00DB6E13" w:rsidRPr="00DB6E13" w:rsidRDefault="00DB6E13" w:rsidP="00DB6E13">
            <w:pPr>
              <w:rPr>
                <w:i/>
                <w:color w:val="000000"/>
              </w:rPr>
            </w:pPr>
            <w:r w:rsidRPr="00DB6E13">
              <w:rPr>
                <w:i/>
                <w:color w:val="000000"/>
                <w:lang w:eastAsia="en-GB"/>
              </w:rPr>
              <w:t>Article 9(2)(c) “</w:t>
            </w:r>
            <w:r w:rsidRPr="00DB6E13">
              <w:rPr>
                <w:i/>
              </w:rPr>
              <w:t>processing is necessary to protect the vital interests of the data subject or of another natural person where the data subject is physically or legally incapable of giving consent”</w:t>
            </w:r>
            <w:r w:rsidRPr="00DB6E13">
              <w:rPr>
                <w:i/>
                <w:color w:val="000000"/>
              </w:rPr>
              <w:t xml:space="preserve"> </w:t>
            </w:r>
          </w:p>
          <w:p w14:paraId="23E0FDD4" w14:textId="77777777" w:rsidR="00FB5B42" w:rsidRDefault="00FB5B42" w:rsidP="000A1085">
            <w:pPr>
              <w:rPr>
                <w:rFonts w:cs="Calibri"/>
                <w:color w:val="000000"/>
              </w:rPr>
            </w:pPr>
          </w:p>
          <w:p w14:paraId="09766996" w14:textId="77777777" w:rsidR="00B95398" w:rsidRPr="007F54C6" w:rsidRDefault="00B95398" w:rsidP="000A1085">
            <w:pPr>
              <w:rPr>
                <w:rFonts w:cs="Calibri"/>
              </w:rPr>
            </w:pPr>
            <w:r w:rsidRPr="007F54C6">
              <w:rPr>
                <w:rFonts w:cs="Calibri"/>
                <w:color w:val="000000"/>
              </w:rPr>
              <w:t>Healthcare staff will also respect and comply with their obligations under the common law duty of confidence.</w:t>
            </w:r>
          </w:p>
        </w:tc>
      </w:tr>
      <w:tr w:rsidR="00B95398" w:rsidRPr="007F54C6" w14:paraId="5C54F88C" w14:textId="77777777" w:rsidTr="000A1085">
        <w:tc>
          <w:tcPr>
            <w:tcW w:w="2405" w:type="dxa"/>
            <w:shd w:val="clear" w:color="auto" w:fill="auto"/>
          </w:tcPr>
          <w:p w14:paraId="6277CAFE" w14:textId="77777777" w:rsidR="00B95398" w:rsidRPr="007F54C6" w:rsidRDefault="00B95398" w:rsidP="000A1085">
            <w:pPr>
              <w:rPr>
                <w:rFonts w:cs="Calibri"/>
                <w:color w:val="000000"/>
                <w:lang w:eastAsia="en-GB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 xml:space="preserve">Recipient or categories of recipients </w:t>
            </w:r>
            <w:r w:rsidR="00951583" w:rsidRPr="007F54C6">
              <w:rPr>
                <w:rFonts w:cs="Calibri"/>
                <w:color w:val="000000"/>
                <w:lang w:eastAsia="en-GB"/>
              </w:rPr>
              <w:t>of the processed data</w:t>
            </w:r>
          </w:p>
        </w:tc>
        <w:tc>
          <w:tcPr>
            <w:tcW w:w="6611" w:type="dxa"/>
            <w:shd w:val="clear" w:color="auto" w:fill="auto"/>
          </w:tcPr>
          <w:p w14:paraId="28B368F6" w14:textId="77777777" w:rsidR="00FB5B42" w:rsidRPr="00FB5B42" w:rsidRDefault="00DB6E13" w:rsidP="00DB6E13">
            <w:pPr>
              <w:pStyle w:val="ListParagraph"/>
              <w:ind w:left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DVLA.</w:t>
            </w:r>
          </w:p>
          <w:p w14:paraId="05CE746C" w14:textId="77777777" w:rsidR="00BA7DBA" w:rsidRPr="007F54C6" w:rsidRDefault="00BA7DBA" w:rsidP="00BA7DBA">
            <w:pPr>
              <w:spacing w:after="0" w:line="240" w:lineRule="auto"/>
              <w:jc w:val="both"/>
              <w:rPr>
                <w:color w:val="000000"/>
                <w:lang w:eastAsia="en-GB"/>
              </w:rPr>
            </w:pPr>
          </w:p>
        </w:tc>
      </w:tr>
      <w:tr w:rsidR="00B95398" w:rsidRPr="007F54C6" w14:paraId="31BF56D5" w14:textId="77777777" w:rsidTr="000A1085">
        <w:tc>
          <w:tcPr>
            <w:tcW w:w="2405" w:type="dxa"/>
            <w:shd w:val="clear" w:color="auto" w:fill="auto"/>
          </w:tcPr>
          <w:p w14:paraId="42CFFE3B" w14:textId="77777777" w:rsidR="00B95398" w:rsidRPr="007F54C6" w:rsidRDefault="00B95398" w:rsidP="000A1085">
            <w:pPr>
              <w:rPr>
                <w:rFonts w:cs="Calibri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>Rights to object</w:t>
            </w:r>
          </w:p>
        </w:tc>
        <w:tc>
          <w:tcPr>
            <w:tcW w:w="6611" w:type="dxa"/>
            <w:shd w:val="clear" w:color="auto" w:fill="auto"/>
          </w:tcPr>
          <w:p w14:paraId="40590270" w14:textId="77777777" w:rsidR="00B95398" w:rsidRPr="008D19FE" w:rsidRDefault="00DB6E13" w:rsidP="00BA7DBA">
            <w:pPr>
              <w:pStyle w:val="ListParagraph"/>
              <w:ind w:left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</w:t>
            </w:r>
          </w:p>
        </w:tc>
      </w:tr>
      <w:tr w:rsidR="00B95398" w:rsidRPr="007F54C6" w14:paraId="406939DF" w14:textId="77777777" w:rsidTr="000A1085">
        <w:tc>
          <w:tcPr>
            <w:tcW w:w="2405" w:type="dxa"/>
            <w:shd w:val="clear" w:color="auto" w:fill="auto"/>
          </w:tcPr>
          <w:p w14:paraId="1473028C" w14:textId="77777777" w:rsidR="00B95398" w:rsidRPr="007F54C6" w:rsidRDefault="00B95398" w:rsidP="000A1085">
            <w:pPr>
              <w:rPr>
                <w:rFonts w:cs="Calibri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  <w:shd w:val="clear" w:color="auto" w:fill="auto"/>
          </w:tcPr>
          <w:p w14:paraId="1B356E2F" w14:textId="77777777" w:rsidR="00B95398" w:rsidRPr="007F54C6" w:rsidRDefault="00B95398" w:rsidP="000A108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7F54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You have the right to access your medical record and have any errors or mistakes corrected. </w:t>
            </w:r>
            <w:r w:rsidRPr="007F54C6">
              <w:rPr>
                <w:rFonts w:ascii="Calibri" w:hAnsi="Calibri" w:cs="Calibri"/>
                <w:sz w:val="22"/>
                <w:szCs w:val="22"/>
                <w:lang w:eastAsia="en-GB"/>
              </w:rPr>
              <w:t>I</w:t>
            </w:r>
            <w:proofErr w:type="spellStart"/>
            <w:r w:rsidRPr="007F54C6">
              <w:rPr>
                <w:rFonts w:ascii="Calibri" w:hAnsi="Calibri" w:cs="Arial"/>
                <w:sz w:val="22"/>
                <w:szCs w:val="22"/>
                <w:lang w:val="en-US"/>
              </w:rPr>
              <w:t>f</w:t>
            </w:r>
            <w:proofErr w:type="spellEnd"/>
            <w:r w:rsidRPr="007F54C6">
              <w:rPr>
                <w:rFonts w:ascii="Calibri" w:hAnsi="Calibri" w:cs="Arial"/>
                <w:sz w:val="22"/>
                <w:szCs w:val="22"/>
                <w:lang w:val="en-US"/>
              </w:rPr>
              <w:t xml:space="preserve"> you would like to access this information, you will need to complete a Subject Access Request (SAR). Please ask at reception for a SAR form</w:t>
            </w:r>
            <w:r w:rsidR="00042431" w:rsidRPr="007F54C6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14:paraId="6BD0B2D3" w14:textId="77777777" w:rsidR="00B95398" w:rsidRPr="007F54C6" w:rsidRDefault="00B95398" w:rsidP="00BA7DBA">
            <w:pPr>
              <w:numPr>
                <w:ilvl w:val="0"/>
                <w:numId w:val="16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 w:rsidRPr="007F54C6">
              <w:rPr>
                <w:rFonts w:eastAsia="Times New Roman"/>
                <w:color w:val="000000"/>
                <w:lang w:eastAsia="en-GB"/>
              </w:rPr>
              <w:t>We are not aware of any circumstances in which you will have the right to delete correct information from your medical record; although you are free to obtain your own legal advice if you believe there is no lawful purpose for which we hold the information and contact us if you hold a different view.</w:t>
            </w:r>
          </w:p>
        </w:tc>
      </w:tr>
      <w:tr w:rsidR="00B95398" w:rsidRPr="007F54C6" w14:paraId="791CF4E4" w14:textId="77777777" w:rsidTr="000A1085">
        <w:tc>
          <w:tcPr>
            <w:tcW w:w="2405" w:type="dxa"/>
            <w:shd w:val="clear" w:color="auto" w:fill="auto"/>
          </w:tcPr>
          <w:p w14:paraId="1FDDE52C" w14:textId="77777777" w:rsidR="00B95398" w:rsidRPr="007F54C6" w:rsidRDefault="00B95398" w:rsidP="000A1085">
            <w:pPr>
              <w:rPr>
                <w:rFonts w:cs="Calibri"/>
                <w:b/>
                <w:color w:val="000000"/>
                <w:lang w:eastAsia="en-GB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>Retention period</w:t>
            </w:r>
          </w:p>
          <w:p w14:paraId="1EAD9590" w14:textId="77777777" w:rsidR="00B95398" w:rsidRPr="007F54C6" w:rsidRDefault="00B95398" w:rsidP="000A1085">
            <w:pPr>
              <w:rPr>
                <w:rFonts w:cs="Calibri"/>
              </w:rPr>
            </w:pPr>
          </w:p>
        </w:tc>
        <w:tc>
          <w:tcPr>
            <w:tcW w:w="6611" w:type="dxa"/>
            <w:shd w:val="clear" w:color="auto" w:fill="auto"/>
          </w:tcPr>
          <w:p w14:paraId="044F8138" w14:textId="77777777" w:rsidR="00B95398" w:rsidRPr="007F54C6" w:rsidRDefault="00B95398" w:rsidP="000A1085">
            <w:pPr>
              <w:rPr>
                <w:rFonts w:cs="Calibri"/>
                <w:color w:val="0000FF"/>
                <w:u w:val="single"/>
                <w:lang w:eastAsia="en-GB"/>
              </w:rPr>
            </w:pPr>
            <w:r w:rsidRPr="007F54C6">
              <w:rPr>
                <w:rFonts w:cs="Calibri"/>
                <w:color w:val="000000"/>
                <w:lang w:eastAsia="en-GB"/>
              </w:rPr>
              <w:t xml:space="preserve">GP medical records will be kept in line with the law and national guidance. Information on how long records are kept can be found at: </w:t>
            </w:r>
            <w:hyperlink r:id="rId9" w:history="1">
              <w:r w:rsidRPr="007F54C6">
                <w:rPr>
                  <w:rStyle w:val="Hyperlink"/>
                  <w:rFonts w:cs="Calibri"/>
                  <w:lang w:eastAsia="en-GB"/>
                </w:rPr>
                <w:t>https://digital.nhs.uk/article/1202/Records-Management-Code-of-Practice-for-Health-and-Social-Care-2016</w:t>
              </w:r>
            </w:hyperlink>
            <w:r w:rsidRPr="007F54C6">
              <w:rPr>
                <w:rStyle w:val="Hyperlink"/>
                <w:rFonts w:cs="Calibri"/>
                <w:lang w:eastAsia="en-GB"/>
              </w:rPr>
              <w:t xml:space="preserve"> </w:t>
            </w:r>
          </w:p>
        </w:tc>
      </w:tr>
      <w:tr w:rsidR="00B95398" w:rsidRPr="007F54C6" w14:paraId="4F9FED8D" w14:textId="77777777" w:rsidTr="000A1085">
        <w:tc>
          <w:tcPr>
            <w:tcW w:w="2405" w:type="dxa"/>
            <w:shd w:val="clear" w:color="auto" w:fill="auto"/>
          </w:tcPr>
          <w:p w14:paraId="66EBCDD4" w14:textId="77777777" w:rsidR="00B95398" w:rsidRPr="007F54C6" w:rsidRDefault="00B95398" w:rsidP="000A1085">
            <w:pPr>
              <w:rPr>
                <w:rFonts w:cs="Calibri"/>
                <w:b/>
                <w:color w:val="000000"/>
                <w:lang w:eastAsia="en-GB"/>
              </w:rPr>
            </w:pPr>
            <w:r w:rsidRPr="007F54C6">
              <w:rPr>
                <w:rFonts w:cs="Calibri"/>
                <w:b/>
                <w:color w:val="000000"/>
                <w:lang w:eastAsia="en-GB"/>
              </w:rPr>
              <w:t>Right to complain</w:t>
            </w:r>
          </w:p>
          <w:p w14:paraId="7F4439B8" w14:textId="77777777" w:rsidR="00B95398" w:rsidRPr="007F54C6" w:rsidRDefault="00B95398" w:rsidP="000A1085">
            <w:pPr>
              <w:rPr>
                <w:rFonts w:cs="Calibri"/>
              </w:rPr>
            </w:pPr>
          </w:p>
        </w:tc>
        <w:tc>
          <w:tcPr>
            <w:tcW w:w="6611" w:type="dxa"/>
            <w:shd w:val="clear" w:color="auto" w:fill="auto"/>
          </w:tcPr>
          <w:p w14:paraId="776743C6" w14:textId="77777777" w:rsidR="00951583" w:rsidRPr="007F54C6" w:rsidRDefault="00B95398" w:rsidP="000A1085">
            <w:pPr>
              <w:rPr>
                <w:b/>
                <w:bCs/>
              </w:rPr>
            </w:pPr>
            <w:r w:rsidRPr="007F54C6">
              <w:rPr>
                <w:rFonts w:cs="Calibri"/>
                <w:color w:val="000000"/>
                <w:lang w:eastAsia="en-GB"/>
              </w:rPr>
              <w:t>You have the right to complain to the Information Commissioner’s Office. If you wish to complain follow this link</w:t>
            </w:r>
            <w:r w:rsidRPr="007F54C6">
              <w:rPr>
                <w:rFonts w:cs="Calibri"/>
              </w:rPr>
              <w:t xml:space="preserve"> </w:t>
            </w:r>
            <w:hyperlink r:id="rId10" w:history="1">
              <w:r w:rsidRPr="007F54C6">
                <w:rPr>
                  <w:rStyle w:val="Hyperlink"/>
                  <w:rFonts w:cs="Calibri"/>
                  <w:lang w:eastAsia="en-GB"/>
                </w:rPr>
                <w:t>https://ico.org.uk/global/contact-us/</w:t>
              </w:r>
            </w:hyperlink>
            <w:r w:rsidRPr="007F54C6">
              <w:rPr>
                <w:rStyle w:val="Hyperlink"/>
                <w:rFonts w:cs="Calibri"/>
                <w:lang w:eastAsia="en-GB"/>
              </w:rPr>
              <w:t xml:space="preserve"> or call the helpline </w:t>
            </w:r>
            <w:r w:rsidRPr="007F54C6">
              <w:rPr>
                <w:rStyle w:val="Strong"/>
              </w:rPr>
              <w:t>0303 123 1113</w:t>
            </w:r>
          </w:p>
        </w:tc>
      </w:tr>
    </w:tbl>
    <w:p w14:paraId="45692658" w14:textId="77777777" w:rsidR="008B28A6" w:rsidRPr="007F54C6" w:rsidRDefault="008B28A6" w:rsidP="00AF418D">
      <w:pPr>
        <w:rPr>
          <w:b/>
          <w:bCs/>
          <w:i/>
          <w:iCs/>
          <w:color w:val="1F497D"/>
          <w:lang w:eastAsia="en-GB"/>
        </w:rPr>
      </w:pPr>
    </w:p>
    <w:sectPr w:rsidR="008B28A6" w:rsidRPr="007F54C6" w:rsidSect="003951F8">
      <w:footerReference w:type="default" r:id="rId11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73C6" w14:textId="77777777" w:rsidR="00F559D5" w:rsidRDefault="00F559D5" w:rsidP="00C17D56">
      <w:pPr>
        <w:spacing w:after="0" w:line="240" w:lineRule="auto"/>
      </w:pPr>
      <w:r>
        <w:separator/>
      </w:r>
    </w:p>
  </w:endnote>
  <w:endnote w:type="continuationSeparator" w:id="0">
    <w:p w14:paraId="16D875D4" w14:textId="77777777" w:rsidR="00F559D5" w:rsidRDefault="00F559D5" w:rsidP="00C1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5F65" w14:textId="77777777" w:rsidR="005E58B6" w:rsidRDefault="005E58B6" w:rsidP="00C17D56">
    <w:pPr>
      <w:pStyle w:val="Footer"/>
      <w:jc w:val="center"/>
      <w:rPr>
        <w:sz w:val="14"/>
        <w:szCs w:val="14"/>
      </w:rPr>
    </w:pPr>
  </w:p>
  <w:p w14:paraId="00996B27" w14:textId="77777777" w:rsidR="005E58B6" w:rsidRDefault="005E58B6" w:rsidP="00C17D56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0AC2" w14:textId="77777777" w:rsidR="00F559D5" w:rsidRDefault="00F559D5" w:rsidP="00C17D56">
      <w:pPr>
        <w:spacing w:after="0" w:line="240" w:lineRule="auto"/>
      </w:pPr>
      <w:r>
        <w:separator/>
      </w:r>
    </w:p>
  </w:footnote>
  <w:footnote w:type="continuationSeparator" w:id="0">
    <w:p w14:paraId="6D8045AA" w14:textId="77777777" w:rsidR="00F559D5" w:rsidRDefault="00F559D5" w:rsidP="00C1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EA3"/>
    <w:multiLevelType w:val="hybridMultilevel"/>
    <w:tmpl w:val="E294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B7B"/>
    <w:multiLevelType w:val="hybridMultilevel"/>
    <w:tmpl w:val="CEDC44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43811"/>
    <w:multiLevelType w:val="hybridMultilevel"/>
    <w:tmpl w:val="5B96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11477"/>
    <w:multiLevelType w:val="hybridMultilevel"/>
    <w:tmpl w:val="10E0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0136"/>
    <w:multiLevelType w:val="hybridMultilevel"/>
    <w:tmpl w:val="B3C6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776C"/>
    <w:multiLevelType w:val="hybridMultilevel"/>
    <w:tmpl w:val="7938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3EC5"/>
    <w:multiLevelType w:val="hybridMultilevel"/>
    <w:tmpl w:val="7808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D4CE2"/>
    <w:multiLevelType w:val="hybridMultilevel"/>
    <w:tmpl w:val="3C22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3B1F"/>
    <w:multiLevelType w:val="hybridMultilevel"/>
    <w:tmpl w:val="7A0A7822"/>
    <w:lvl w:ilvl="0" w:tplc="01544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2FB1"/>
    <w:multiLevelType w:val="hybridMultilevel"/>
    <w:tmpl w:val="B922CDB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58C540D3"/>
    <w:multiLevelType w:val="hybridMultilevel"/>
    <w:tmpl w:val="373A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64B4"/>
    <w:multiLevelType w:val="hybridMultilevel"/>
    <w:tmpl w:val="35C09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D97B26"/>
    <w:multiLevelType w:val="hybridMultilevel"/>
    <w:tmpl w:val="87845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0527A"/>
    <w:multiLevelType w:val="hybridMultilevel"/>
    <w:tmpl w:val="9D14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22B6C"/>
    <w:multiLevelType w:val="hybridMultilevel"/>
    <w:tmpl w:val="42F6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366">
    <w:abstractNumId w:val="3"/>
  </w:num>
  <w:num w:numId="2" w16cid:durableId="1872303432">
    <w:abstractNumId w:val="8"/>
  </w:num>
  <w:num w:numId="3" w16cid:durableId="316539842">
    <w:abstractNumId w:val="7"/>
  </w:num>
  <w:num w:numId="4" w16cid:durableId="1464735595">
    <w:abstractNumId w:val="4"/>
  </w:num>
  <w:num w:numId="5" w16cid:durableId="173306249">
    <w:abstractNumId w:val="5"/>
  </w:num>
  <w:num w:numId="6" w16cid:durableId="19979984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305287">
    <w:abstractNumId w:val="1"/>
  </w:num>
  <w:num w:numId="8" w16cid:durableId="1765220723">
    <w:abstractNumId w:val="9"/>
  </w:num>
  <w:num w:numId="9" w16cid:durableId="1785036286">
    <w:abstractNumId w:val="15"/>
  </w:num>
  <w:num w:numId="10" w16cid:durableId="1298026246">
    <w:abstractNumId w:val="11"/>
  </w:num>
  <w:num w:numId="11" w16cid:durableId="1356810873">
    <w:abstractNumId w:val="12"/>
  </w:num>
  <w:num w:numId="12" w16cid:durableId="1087923728">
    <w:abstractNumId w:val="13"/>
  </w:num>
  <w:num w:numId="13" w16cid:durableId="1158230392">
    <w:abstractNumId w:val="10"/>
  </w:num>
  <w:num w:numId="14" w16cid:durableId="2089036354">
    <w:abstractNumId w:val="6"/>
  </w:num>
  <w:num w:numId="15" w16cid:durableId="1354650954">
    <w:abstractNumId w:val="0"/>
  </w:num>
  <w:num w:numId="16" w16cid:durableId="1102411570">
    <w:abstractNumId w:val="14"/>
  </w:num>
  <w:num w:numId="17" w16cid:durableId="15515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E7"/>
    <w:rsid w:val="00031462"/>
    <w:rsid w:val="00041139"/>
    <w:rsid w:val="00042431"/>
    <w:rsid w:val="00082B4B"/>
    <w:rsid w:val="000A1085"/>
    <w:rsid w:val="000A1FB3"/>
    <w:rsid w:val="000D3788"/>
    <w:rsid w:val="000F3BD5"/>
    <w:rsid w:val="00114FE2"/>
    <w:rsid w:val="00142F46"/>
    <w:rsid w:val="001806A9"/>
    <w:rsid w:val="001B6CF1"/>
    <w:rsid w:val="001D6101"/>
    <w:rsid w:val="00210EDE"/>
    <w:rsid w:val="0022186A"/>
    <w:rsid w:val="002315BF"/>
    <w:rsid w:val="00272598"/>
    <w:rsid w:val="00293044"/>
    <w:rsid w:val="002A70C1"/>
    <w:rsid w:val="00310A02"/>
    <w:rsid w:val="0032585C"/>
    <w:rsid w:val="00347E21"/>
    <w:rsid w:val="00385D7B"/>
    <w:rsid w:val="003951F8"/>
    <w:rsid w:val="003E7623"/>
    <w:rsid w:val="0042547F"/>
    <w:rsid w:val="00463E17"/>
    <w:rsid w:val="004675DD"/>
    <w:rsid w:val="0048522B"/>
    <w:rsid w:val="004B488B"/>
    <w:rsid w:val="0050473D"/>
    <w:rsid w:val="00505683"/>
    <w:rsid w:val="00516CDB"/>
    <w:rsid w:val="00574BF3"/>
    <w:rsid w:val="0059555B"/>
    <w:rsid w:val="005A0B83"/>
    <w:rsid w:val="005B14D5"/>
    <w:rsid w:val="005E58B6"/>
    <w:rsid w:val="005F4452"/>
    <w:rsid w:val="0060749B"/>
    <w:rsid w:val="006A3466"/>
    <w:rsid w:val="00713ECE"/>
    <w:rsid w:val="00732667"/>
    <w:rsid w:val="00775A90"/>
    <w:rsid w:val="007A1EC0"/>
    <w:rsid w:val="007F0A3C"/>
    <w:rsid w:val="007F1E7F"/>
    <w:rsid w:val="007F54C6"/>
    <w:rsid w:val="008062AD"/>
    <w:rsid w:val="00817C73"/>
    <w:rsid w:val="008407D0"/>
    <w:rsid w:val="0086076D"/>
    <w:rsid w:val="0088209C"/>
    <w:rsid w:val="008A2167"/>
    <w:rsid w:val="008B28A6"/>
    <w:rsid w:val="008D19FE"/>
    <w:rsid w:val="00920AB1"/>
    <w:rsid w:val="009455EE"/>
    <w:rsid w:val="00951583"/>
    <w:rsid w:val="009A7F75"/>
    <w:rsid w:val="00A13D59"/>
    <w:rsid w:val="00A23412"/>
    <w:rsid w:val="00A31ED8"/>
    <w:rsid w:val="00AA45B8"/>
    <w:rsid w:val="00AA4986"/>
    <w:rsid w:val="00AD6CB3"/>
    <w:rsid w:val="00AF418D"/>
    <w:rsid w:val="00B42ABA"/>
    <w:rsid w:val="00B64DA6"/>
    <w:rsid w:val="00B95398"/>
    <w:rsid w:val="00BA7DBA"/>
    <w:rsid w:val="00BB0881"/>
    <w:rsid w:val="00C00E7B"/>
    <w:rsid w:val="00C07D8C"/>
    <w:rsid w:val="00C17D56"/>
    <w:rsid w:val="00C63851"/>
    <w:rsid w:val="00C64626"/>
    <w:rsid w:val="00C91CEC"/>
    <w:rsid w:val="00C966E7"/>
    <w:rsid w:val="00C97591"/>
    <w:rsid w:val="00CA114A"/>
    <w:rsid w:val="00D31F29"/>
    <w:rsid w:val="00D82F50"/>
    <w:rsid w:val="00DB06CE"/>
    <w:rsid w:val="00DB6E13"/>
    <w:rsid w:val="00DC7634"/>
    <w:rsid w:val="00E749AB"/>
    <w:rsid w:val="00E83274"/>
    <w:rsid w:val="00E8456C"/>
    <w:rsid w:val="00E90989"/>
    <w:rsid w:val="00EE701C"/>
    <w:rsid w:val="00F02521"/>
    <w:rsid w:val="00F030F5"/>
    <w:rsid w:val="00F379DC"/>
    <w:rsid w:val="00F559D5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5DB84"/>
  <w15:chartTrackingRefBased/>
  <w15:docId w15:val="{F7237C57-9DB4-42AB-B0ED-143031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6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70C1"/>
    <w:rPr>
      <w:color w:val="0000FF"/>
      <w:u w:val="single"/>
    </w:rPr>
  </w:style>
  <w:style w:type="paragraph" w:customStyle="1" w:styleId="DocumentLabel">
    <w:name w:val="Document Label"/>
    <w:basedOn w:val="Normal"/>
    <w:qFormat/>
    <w:rsid w:val="00A13D59"/>
    <w:pPr>
      <w:keepNext/>
      <w:keepLines/>
      <w:spacing w:before="880" w:after="120" w:line="264" w:lineRule="auto"/>
      <w:ind w:left="576"/>
    </w:pPr>
    <w:rPr>
      <w:rFonts w:ascii="Cambria" w:eastAsia="Times New Roman" w:hAnsi="Cambria"/>
      <w:kern w:val="28"/>
      <w:sz w:val="148"/>
      <w:szCs w:val="20"/>
      <w:lang w:val="en-US"/>
    </w:rPr>
  </w:style>
  <w:style w:type="paragraph" w:styleId="MessageHeader">
    <w:name w:val="Message Header"/>
    <w:basedOn w:val="BodyText"/>
    <w:link w:val="MessageHeaderChar"/>
    <w:qFormat/>
    <w:rsid w:val="00A13D59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/>
      <w:caps/>
      <w:sz w:val="16"/>
      <w:szCs w:val="20"/>
      <w:lang w:val="en-US"/>
    </w:rPr>
  </w:style>
  <w:style w:type="character" w:customStyle="1" w:styleId="MessageHeaderChar">
    <w:name w:val="Message Header Char"/>
    <w:link w:val="MessageHeader"/>
    <w:rsid w:val="00A13D59"/>
    <w:rPr>
      <w:rFonts w:eastAsia="Times New Roman" w:cs="Times New Roman"/>
      <w:caps/>
      <w:sz w:val="16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13D59"/>
  </w:style>
  <w:style w:type="paragraph" w:customStyle="1" w:styleId="MessageBody">
    <w:name w:val="Message Body"/>
    <w:basedOn w:val="Normal"/>
    <w:qFormat/>
    <w:rsid w:val="00A13D59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/>
      <w:sz w:val="16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13D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D59"/>
  </w:style>
  <w:style w:type="paragraph" w:customStyle="1" w:styleId="ActionOptions">
    <w:name w:val="Action Options"/>
    <w:basedOn w:val="MessageHeader"/>
    <w:next w:val="BodyText"/>
    <w:qFormat/>
    <w:rsid w:val="00A13D59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styleId="Header">
    <w:name w:val="header"/>
    <w:basedOn w:val="Normal"/>
    <w:link w:val="HeaderChar"/>
    <w:unhideWhenUsed/>
    <w:rsid w:val="00C17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7D5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7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7D5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0E7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0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F379DC"/>
    <w:rPr>
      <w:color w:val="800080"/>
      <w:u w:val="single"/>
    </w:rPr>
  </w:style>
  <w:style w:type="paragraph" w:customStyle="1" w:styleId="Default">
    <w:name w:val="Default"/>
    <w:rsid w:val="00EE70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B95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co.org.uk/global/contact-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nhs.uk/article/1202/Records-Management-Code-of-Practice-for-Health-and-Social-Care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5207-68EC-48BE-89D1-B10D47D0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3108</CharactersWithSpaces>
  <SharedDoc>false</SharedDoc>
  <HLinks>
    <vt:vector size="12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https://digital.nhs.uk/article/1202/Records-Management-Code-of-Practice-for-Health-and-Social-Care-2016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Hendon</dc:creator>
  <cp:keywords/>
  <cp:lastModifiedBy>Amy Griffiths</cp:lastModifiedBy>
  <cp:revision>2</cp:revision>
  <cp:lastPrinted>2018-05-24T09:38:00Z</cp:lastPrinted>
  <dcterms:created xsi:type="dcterms:W3CDTF">2022-07-26T10:24:00Z</dcterms:created>
  <dcterms:modified xsi:type="dcterms:W3CDTF">2022-07-26T10:24:00Z</dcterms:modified>
</cp:coreProperties>
</file>