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39921A40" w14:textId="77777777" w:rsidTr="001D6101">
        <w:trPr>
          <w:trHeight w:val="2356"/>
        </w:trPr>
        <w:tc>
          <w:tcPr>
            <w:tcW w:w="1994" w:type="dxa"/>
            <w:tcBorders>
              <w:top w:val="nil"/>
              <w:left w:val="nil"/>
              <w:bottom w:val="nil"/>
              <w:right w:val="nil"/>
            </w:tcBorders>
            <w:shd w:val="clear" w:color="auto" w:fill="auto"/>
          </w:tcPr>
          <w:p w14:paraId="44D0FAFD" w14:textId="77777777" w:rsidR="00F02521" w:rsidRPr="00E90989" w:rsidRDefault="00F02521" w:rsidP="00E90989">
            <w:pPr>
              <w:spacing w:after="0" w:line="240" w:lineRule="auto"/>
              <w:rPr>
                <w:b/>
              </w:rPr>
            </w:pPr>
            <w:r w:rsidRPr="00E90989">
              <w:rPr>
                <w:b/>
              </w:rPr>
              <w:t xml:space="preserve">Dr. </w:t>
            </w:r>
            <w:r w:rsidR="00463E17">
              <w:rPr>
                <w:b/>
              </w:rPr>
              <w:t>J.P. Hopcroft</w:t>
            </w:r>
          </w:p>
          <w:p w14:paraId="2039886A" w14:textId="77777777" w:rsidR="00F02521" w:rsidRPr="00E90989" w:rsidRDefault="00463E17" w:rsidP="00E90989">
            <w:pPr>
              <w:spacing w:after="0" w:line="240" w:lineRule="auto"/>
              <w:rPr>
                <w:b/>
              </w:rPr>
            </w:pPr>
            <w:r>
              <w:rPr>
                <w:b/>
              </w:rPr>
              <w:t>Dr. R.T. Summers</w:t>
            </w:r>
          </w:p>
          <w:p w14:paraId="5A330F71" w14:textId="77777777" w:rsidR="00F02521" w:rsidRPr="00E90989" w:rsidRDefault="00463E17" w:rsidP="00E90989">
            <w:pPr>
              <w:spacing w:after="0" w:line="240" w:lineRule="auto"/>
              <w:rPr>
                <w:b/>
              </w:rPr>
            </w:pPr>
            <w:r>
              <w:rPr>
                <w:b/>
              </w:rPr>
              <w:t>Dr. C.J. Wright</w:t>
            </w:r>
          </w:p>
          <w:p w14:paraId="73E44015" w14:textId="77777777" w:rsidR="00F02521" w:rsidRPr="00E90989" w:rsidRDefault="00463E17" w:rsidP="00E90989">
            <w:pPr>
              <w:spacing w:after="0" w:line="240" w:lineRule="auto"/>
              <w:rPr>
                <w:b/>
              </w:rPr>
            </w:pPr>
            <w:r>
              <w:rPr>
                <w:b/>
              </w:rPr>
              <w:t>Dr. A. Mayet</w:t>
            </w:r>
          </w:p>
          <w:p w14:paraId="167B6443" w14:textId="77777777" w:rsidR="00F02521" w:rsidRPr="00E90989" w:rsidRDefault="00463E17" w:rsidP="00E90989">
            <w:pPr>
              <w:spacing w:after="0" w:line="240" w:lineRule="auto"/>
              <w:rPr>
                <w:b/>
              </w:rPr>
            </w:pPr>
            <w:r>
              <w:rPr>
                <w:b/>
              </w:rPr>
              <w:t>Dr. P. Afsar</w:t>
            </w:r>
          </w:p>
          <w:p w14:paraId="16C210EB" w14:textId="77777777" w:rsidR="00F02521" w:rsidRDefault="00463E17" w:rsidP="00E90989">
            <w:pPr>
              <w:spacing w:after="0" w:line="240" w:lineRule="auto"/>
              <w:rPr>
                <w:b/>
              </w:rPr>
            </w:pPr>
            <w:r>
              <w:rPr>
                <w:b/>
              </w:rPr>
              <w:t>Dr. N. Skaria</w:t>
            </w:r>
          </w:p>
          <w:p w14:paraId="2E0FD227"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2FFDE049" w14:textId="77777777" w:rsidR="001D6101" w:rsidRPr="0086076D" w:rsidRDefault="001D6101" w:rsidP="00E90989">
            <w:pPr>
              <w:spacing w:after="0" w:line="240" w:lineRule="auto"/>
              <w:rPr>
                <w:b/>
              </w:rPr>
            </w:pPr>
            <w:r>
              <w:rPr>
                <w:b/>
              </w:rPr>
              <w:t>Dr. S. Keegan</w:t>
            </w:r>
          </w:p>
        </w:tc>
      </w:tr>
    </w:tbl>
    <w:p w14:paraId="3505D8E6"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1BDC93CE" w14:textId="77777777" w:rsidTr="00E90989">
        <w:trPr>
          <w:trHeight w:val="911"/>
        </w:trPr>
        <w:tc>
          <w:tcPr>
            <w:tcW w:w="1916" w:type="dxa"/>
            <w:shd w:val="clear" w:color="auto" w:fill="auto"/>
          </w:tcPr>
          <w:p w14:paraId="3C5ECC9E" w14:textId="47AA9093" w:rsidR="002A70C1" w:rsidRPr="00E90989" w:rsidRDefault="00013DAD" w:rsidP="00E90989">
            <w:pPr>
              <w:spacing w:after="0" w:line="240" w:lineRule="auto"/>
              <w:jc w:val="center"/>
            </w:pPr>
            <w:r w:rsidRPr="00DF5605">
              <w:rPr>
                <w:noProof/>
                <w:lang w:eastAsia="en-GB"/>
              </w:rPr>
              <w:drawing>
                <wp:inline distT="0" distB="0" distL="0" distR="0" wp14:anchorId="423E17BB" wp14:editId="4C893B08">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781F0778" w14:textId="5A1A08C8" w:rsidR="00C966E7" w:rsidRDefault="00013DAD" w:rsidP="00C966E7">
      <w:pPr>
        <w:jc w:val="center"/>
        <w:rPr>
          <w:noProof/>
          <w:lang w:eastAsia="en-GB"/>
        </w:rPr>
      </w:pPr>
      <w:r>
        <w:rPr>
          <w:noProof/>
        </w:rPr>
        <mc:AlternateContent>
          <mc:Choice Requires="wps">
            <w:drawing>
              <wp:inline distT="0" distB="0" distL="0" distR="0" wp14:anchorId="55F80E01" wp14:editId="66822743">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41E8E0FB"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55F80E01"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41E8E0FB"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0C4B4518" w14:textId="77777777" w:rsidTr="0086076D">
        <w:trPr>
          <w:trHeight w:val="1784"/>
        </w:trPr>
        <w:tc>
          <w:tcPr>
            <w:tcW w:w="4871" w:type="dxa"/>
            <w:shd w:val="clear" w:color="auto" w:fill="auto"/>
          </w:tcPr>
          <w:p w14:paraId="596E8B4A" w14:textId="77777777" w:rsidR="002A70C1" w:rsidRPr="00E90989" w:rsidRDefault="002A70C1" w:rsidP="00E90989">
            <w:pPr>
              <w:spacing w:after="0" w:line="240" w:lineRule="auto"/>
              <w:jc w:val="center"/>
              <w:rPr>
                <w:b/>
                <w:noProof/>
                <w:lang w:eastAsia="en-GB"/>
              </w:rPr>
            </w:pPr>
          </w:p>
          <w:p w14:paraId="00E28A1A"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0DD8B05C" w14:textId="77777777" w:rsidR="003951F8" w:rsidRDefault="00CA114A" w:rsidP="003951F8">
            <w:pPr>
              <w:pStyle w:val="Header"/>
              <w:jc w:val="center"/>
              <w:rPr>
                <w:b/>
                <w:noProof/>
                <w:sz w:val="36"/>
                <w:szCs w:val="36"/>
                <w:lang w:eastAsia="en-GB"/>
              </w:rPr>
            </w:pPr>
            <w:r>
              <w:rPr>
                <w:b/>
                <w:noProof/>
                <w:sz w:val="36"/>
                <w:szCs w:val="36"/>
                <w:lang w:eastAsia="en-GB"/>
              </w:rPr>
              <w:t>Payments</w:t>
            </w:r>
          </w:p>
          <w:p w14:paraId="4CF273A4" w14:textId="77777777" w:rsidR="002A70C1" w:rsidRPr="00E90989" w:rsidRDefault="002A70C1" w:rsidP="00E90989">
            <w:pPr>
              <w:spacing w:after="0" w:line="240" w:lineRule="auto"/>
              <w:jc w:val="center"/>
            </w:pPr>
          </w:p>
        </w:tc>
      </w:tr>
    </w:tbl>
    <w:p w14:paraId="3EA651BB" w14:textId="77777777" w:rsidR="00C966E7" w:rsidRPr="00C966E7" w:rsidRDefault="00C966E7" w:rsidP="00C966E7">
      <w:pPr>
        <w:spacing w:after="0" w:line="240" w:lineRule="auto"/>
        <w:jc w:val="center"/>
        <w:rPr>
          <w:b/>
          <w:noProof/>
          <w:lang w:eastAsia="en-GB"/>
        </w:rPr>
      </w:pPr>
    </w:p>
    <w:p w14:paraId="0D9A4CA0" w14:textId="77777777" w:rsidR="008A2167" w:rsidRDefault="008A2167" w:rsidP="00C966E7">
      <w:pPr>
        <w:jc w:val="right"/>
      </w:pPr>
    </w:p>
    <w:p w14:paraId="737A59DB" w14:textId="77777777" w:rsidR="00C966E7" w:rsidRDefault="00C966E7" w:rsidP="00C966E7">
      <w:pPr>
        <w:jc w:val="right"/>
        <w:rPr>
          <w:noProof/>
          <w:lang w:eastAsia="en-GB"/>
        </w:rPr>
      </w:pPr>
      <w:r>
        <w:rPr>
          <w:noProof/>
          <w:lang w:eastAsia="en-GB"/>
        </w:rPr>
        <w:t xml:space="preserve"> </w:t>
      </w:r>
    </w:p>
    <w:p w14:paraId="37D62E8E" w14:textId="77777777" w:rsidR="002A70C1" w:rsidRDefault="002A70C1" w:rsidP="00C966E7">
      <w:pPr>
        <w:jc w:val="right"/>
      </w:pPr>
    </w:p>
    <w:p w14:paraId="2EC4CB23" w14:textId="77777777" w:rsidR="002A70C1" w:rsidRDefault="002A70C1" w:rsidP="002A70C1">
      <w:pPr>
        <w:jc w:val="center"/>
      </w:pPr>
    </w:p>
    <w:p w14:paraId="4EB1D77A" w14:textId="77777777" w:rsidR="00B42ABA" w:rsidRDefault="00B42ABA" w:rsidP="00775A90">
      <w:pPr>
        <w:spacing w:after="0"/>
      </w:pPr>
    </w:p>
    <w:p w14:paraId="17A45464" w14:textId="77777777" w:rsidR="0086076D" w:rsidRDefault="0086076D" w:rsidP="00775A90">
      <w:pPr>
        <w:spacing w:after="0"/>
      </w:pPr>
    </w:p>
    <w:p w14:paraId="1646377A" w14:textId="77777777" w:rsidR="0086076D" w:rsidRDefault="0086076D" w:rsidP="00775A90">
      <w:pPr>
        <w:spacing w:after="0"/>
      </w:pPr>
    </w:p>
    <w:p w14:paraId="1ECB112C" w14:textId="77777777" w:rsidR="00463E17" w:rsidRDefault="0086076D" w:rsidP="00775A90">
      <w:pPr>
        <w:spacing w:after="0"/>
      </w:pPr>
      <w:r>
        <w:t>_______________________________________________________________________________________</w:t>
      </w:r>
    </w:p>
    <w:p w14:paraId="6F5E9442" w14:textId="77777777" w:rsidR="00CA114A" w:rsidRPr="00713ECE" w:rsidRDefault="00CA114A" w:rsidP="00CA114A">
      <w:pPr>
        <w:rPr>
          <w:color w:val="000000"/>
          <w:sz w:val="28"/>
          <w:szCs w:val="28"/>
          <w:lang w:eastAsia="en-GB"/>
        </w:rPr>
      </w:pPr>
    </w:p>
    <w:p w14:paraId="1A6A8890" w14:textId="77777777" w:rsidR="00CA114A" w:rsidRPr="00713ECE" w:rsidRDefault="00CA114A" w:rsidP="00CA114A">
      <w:pPr>
        <w:jc w:val="both"/>
        <w:rPr>
          <w:color w:val="000000"/>
          <w:lang w:eastAsia="en-GB"/>
        </w:rPr>
      </w:pPr>
      <w:r w:rsidRPr="00713ECE">
        <w:rPr>
          <w:color w:val="000000"/>
          <w:lang w:eastAsia="en-GB"/>
        </w:rPr>
        <w:t xml:space="preserve">Contract holding GPs in the UK receive payments from their respective governments on a tiered basis. Most of the income is derived from baseline capitation payments made according to the number of patients registered with the practice on quarterly payment days. There are also graduated payments made according to the practice’s achievement of certain agreed national quality targets known as the Quality and Outcomes Framework (QOF). Practices can also receive payments for participating in agreed national or local enhanced services. Practices can also receive payments for certain national initiatives such as immunisation programs and practices may also receive incomes relating to a variety of </w:t>
      </w:r>
      <w:proofErr w:type="spellStart"/>
      <w:r w:rsidRPr="00713ECE">
        <w:rPr>
          <w:color w:val="000000"/>
          <w:lang w:eastAsia="en-GB"/>
        </w:rPr>
        <w:t>non patient</w:t>
      </w:r>
      <w:proofErr w:type="spellEnd"/>
      <w:r w:rsidRPr="00713ECE">
        <w:rPr>
          <w:color w:val="000000"/>
          <w:lang w:eastAsia="en-GB"/>
        </w:rPr>
        <w:t xml:space="preserve"> related elements. </w:t>
      </w:r>
    </w:p>
    <w:p w14:paraId="0405B50A" w14:textId="77777777" w:rsidR="00CA114A" w:rsidRPr="00713ECE" w:rsidRDefault="00CA114A" w:rsidP="00CA114A">
      <w:pPr>
        <w:jc w:val="both"/>
        <w:rPr>
          <w:color w:val="000000"/>
          <w:lang w:eastAsia="en-GB"/>
        </w:rPr>
      </w:pPr>
      <w:r w:rsidRPr="00713ECE">
        <w:rPr>
          <w:color w:val="000000"/>
          <w:lang w:eastAsia="en-GB"/>
        </w:rPr>
        <w:t xml:space="preserve">In order to make </w:t>
      </w:r>
      <w:proofErr w:type="gramStart"/>
      <w:r w:rsidRPr="00713ECE">
        <w:rPr>
          <w:color w:val="000000"/>
          <w:lang w:eastAsia="en-GB"/>
        </w:rPr>
        <w:t>patient based</w:t>
      </w:r>
      <w:proofErr w:type="gramEnd"/>
      <w:r w:rsidRPr="00713ECE">
        <w:rPr>
          <w:color w:val="000000"/>
          <w:lang w:eastAsia="en-GB"/>
        </w:rPr>
        <w:t xml:space="preserve"> payments basic and relevant necessary data about you needs to be sent to the various payment services. The release of this data is required by English laws.</w:t>
      </w:r>
    </w:p>
    <w:p w14:paraId="69FEE100" w14:textId="77777777" w:rsidR="00BA7DBA" w:rsidRPr="009D0178" w:rsidRDefault="00BA7DBA" w:rsidP="00BA7DBA">
      <w:r w:rsidRPr="009D0178">
        <w:t xml:space="preserve">NHS England’s powers to commission health services under the NHS Act 2006 or to delegate such powers to CCGs and the </w:t>
      </w:r>
      <w:r>
        <w:t xml:space="preserve">GMS regulations 2004 (73)1.  </w:t>
      </w:r>
      <w:r w:rsidRPr="009D0178">
        <w:t xml:space="preserve">For more information about payments the English GPs please see; </w:t>
      </w:r>
      <w:hyperlink r:id="rId9" w:history="1">
        <w:r w:rsidRPr="009D0178">
          <w:rPr>
            <w:rStyle w:val="Hyperlink"/>
          </w:rPr>
          <w:t>https://digital.nhs.uk/NHAIS/gp-payments</w:t>
        </w:r>
      </w:hyperlink>
      <w:r w:rsidRPr="009D0178">
        <w:t>,</w:t>
      </w:r>
      <w:r>
        <w:t xml:space="preserve"> </w:t>
      </w:r>
      <w:hyperlink r:id="rId10" w:history="1">
        <w:r w:rsidRPr="009D0178">
          <w:rPr>
            <w:rStyle w:val="Hyperlink"/>
          </w:rPr>
          <w:t>https://digital.nhs.uk/catalogue/PUB30089</w:t>
        </w:r>
      </w:hyperlink>
      <w:r w:rsidRPr="009D0178">
        <w:t xml:space="preserve"> and </w:t>
      </w:r>
      <w:hyperlink r:id="rId11" w:history="1">
        <w:r w:rsidRPr="009D0178">
          <w:rPr>
            <w:rStyle w:val="Hyperlink"/>
          </w:rPr>
          <w:t>http://www.nhshistory.net/gppay.pdf</w:t>
        </w:r>
      </w:hyperlink>
    </w:p>
    <w:p w14:paraId="720AA8D2" w14:textId="77777777" w:rsidR="00CA114A" w:rsidRPr="00713ECE" w:rsidRDefault="00CA114A" w:rsidP="00CA114A">
      <w:pPr>
        <w:rPr>
          <w:rFonts w:cs="Arial"/>
          <w:b/>
          <w:u w:val="single"/>
          <w:lang w:val="en-US"/>
        </w:rPr>
      </w:pPr>
    </w:p>
    <w:p w14:paraId="1DFB68BE" w14:textId="77777777" w:rsidR="00CA114A" w:rsidRPr="00713ECE" w:rsidRDefault="00CA114A" w:rsidP="00CA114A">
      <w:pPr>
        <w:rPr>
          <w:rFonts w:cs="Arial"/>
          <w:b/>
          <w:u w:val="single"/>
          <w:lang w:val="en-US"/>
        </w:rPr>
      </w:pPr>
      <w:r w:rsidRPr="00713ECE">
        <w:rPr>
          <w:rFonts w:cs="Arial"/>
          <w:b/>
          <w:u w:val="single"/>
          <w:lang w:val="en-US"/>
        </w:rPr>
        <w:t>Invoice validation</w:t>
      </w:r>
    </w:p>
    <w:p w14:paraId="50EDFC97" w14:textId="77777777" w:rsidR="00CA114A" w:rsidRPr="00CA114A" w:rsidRDefault="00CA114A" w:rsidP="00CA114A">
      <w:pPr>
        <w:jc w:val="both"/>
        <w:rPr>
          <w:rFonts w:ascii="Arial" w:hAnsi="Arial" w:cs="Arial"/>
          <w:color w:val="215868"/>
          <w:lang w:val="en-US"/>
        </w:rPr>
      </w:pPr>
      <w:r w:rsidRPr="00713ECE">
        <w:rPr>
          <w:rFonts w:cs="Arial"/>
          <w:lang w:val="en-US"/>
        </w:rPr>
        <w:t xml:space="preserve">Your information may be shared if you have received treatment to determine which Clinical Commissioning Group (CCG) is responsible for paying for your treatment. This information may include your name, </w:t>
      </w:r>
      <w:proofErr w:type="gramStart"/>
      <w:r w:rsidRPr="00713ECE">
        <w:rPr>
          <w:rFonts w:cs="Arial"/>
          <w:lang w:val="en-US"/>
        </w:rPr>
        <w:t>address</w:t>
      </w:r>
      <w:proofErr w:type="gramEnd"/>
      <w:r w:rsidRPr="00713ECE">
        <w:rPr>
          <w:rFonts w:cs="Arial"/>
          <w:lang w:val="en-US"/>
        </w:rPr>
        <w:t xml:space="preserve"> and treatment date. </w:t>
      </w:r>
      <w:proofErr w:type="gramStart"/>
      <w:r w:rsidRPr="00713ECE">
        <w:rPr>
          <w:rFonts w:cs="Arial"/>
          <w:lang w:val="en-US"/>
        </w:rPr>
        <w:t>All of</w:t>
      </w:r>
      <w:proofErr w:type="gramEnd"/>
      <w:r w:rsidRPr="00713ECE">
        <w:rPr>
          <w:rFonts w:cs="Arial"/>
          <w:lang w:val="en-US"/>
        </w:rPr>
        <w:t xml:space="preserve"> this information is held securely and confidentially; it will not be used for any other purpose or shared with any third parties</w:t>
      </w:r>
      <w:r w:rsidRPr="00CA114A">
        <w:rPr>
          <w:rFonts w:ascii="Arial" w:hAnsi="Arial" w:cs="Arial"/>
          <w:color w:val="215868"/>
          <w:lang w:val="en-US"/>
        </w:rPr>
        <w:t>.</w:t>
      </w:r>
    </w:p>
    <w:p w14:paraId="55001634" w14:textId="77777777" w:rsidR="00B95398" w:rsidRPr="000A1085" w:rsidRDefault="00B95398" w:rsidP="00B95398">
      <w:pPr>
        <w:rPr>
          <w:rFonts w:cs="Calibri"/>
          <w:sz w:val="24"/>
          <w:szCs w:val="24"/>
        </w:rPr>
      </w:pPr>
      <w:r w:rsidRPr="000A1085">
        <w:rPr>
          <w:rFonts w:cs="Calibri"/>
          <w:sz w:val="24"/>
          <w:szCs w:val="24"/>
        </w:rPr>
        <w:t>We are required by law to provide you with the following information about how we handle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0A1085" w14:paraId="0BD3470E" w14:textId="77777777" w:rsidTr="000A1085">
        <w:tc>
          <w:tcPr>
            <w:tcW w:w="2405" w:type="dxa"/>
            <w:shd w:val="clear" w:color="auto" w:fill="auto"/>
          </w:tcPr>
          <w:p w14:paraId="7F60B190"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 xml:space="preserve">Data Controller </w:t>
            </w:r>
            <w:r w:rsidRPr="000A1085">
              <w:rPr>
                <w:rFonts w:cs="Calibri"/>
                <w:color w:val="000000"/>
                <w:sz w:val="24"/>
                <w:szCs w:val="24"/>
                <w:lang w:eastAsia="en-GB"/>
              </w:rPr>
              <w:t>contact details</w:t>
            </w:r>
          </w:p>
        </w:tc>
        <w:tc>
          <w:tcPr>
            <w:tcW w:w="6611" w:type="dxa"/>
            <w:shd w:val="clear" w:color="auto" w:fill="auto"/>
          </w:tcPr>
          <w:p w14:paraId="3B88D800" w14:textId="77777777" w:rsidR="00B95398" w:rsidRPr="000A1085" w:rsidRDefault="00B95398" w:rsidP="000A1085">
            <w:pPr>
              <w:rPr>
                <w:rFonts w:cs="Calibri"/>
                <w:sz w:val="24"/>
                <w:szCs w:val="24"/>
                <w:lang w:eastAsia="en-GB"/>
              </w:rPr>
            </w:pPr>
            <w:r w:rsidRPr="000A1085">
              <w:rPr>
                <w:rFonts w:cs="Calibri"/>
                <w:sz w:val="24"/>
                <w:szCs w:val="24"/>
                <w:lang w:eastAsia="en-GB"/>
              </w:rPr>
              <w:t>Fern House Surgery, 125 – 129 Newland</w:t>
            </w:r>
            <w:r w:rsidR="00BA7DBA">
              <w:rPr>
                <w:rFonts w:cs="Calibri"/>
                <w:sz w:val="24"/>
                <w:szCs w:val="24"/>
                <w:lang w:eastAsia="en-GB"/>
              </w:rPr>
              <w:t xml:space="preserve"> Street, Witham, Essex CM8 1BH </w:t>
            </w:r>
          </w:p>
        </w:tc>
      </w:tr>
      <w:tr w:rsidR="00B95398" w:rsidRPr="000A1085" w14:paraId="5685AF9A" w14:textId="77777777" w:rsidTr="000A1085">
        <w:tc>
          <w:tcPr>
            <w:tcW w:w="2405" w:type="dxa"/>
            <w:shd w:val="clear" w:color="auto" w:fill="auto"/>
          </w:tcPr>
          <w:p w14:paraId="43598966" w14:textId="77777777" w:rsidR="00CA114A" w:rsidRPr="00BA7DBA" w:rsidRDefault="00B95398" w:rsidP="000A1085">
            <w:pPr>
              <w:rPr>
                <w:rFonts w:cs="Calibri"/>
                <w:color w:val="000000"/>
                <w:sz w:val="24"/>
                <w:szCs w:val="24"/>
                <w:lang w:eastAsia="en-GB"/>
              </w:rPr>
            </w:pPr>
            <w:r w:rsidRPr="000A1085">
              <w:rPr>
                <w:rFonts w:cs="Calibri"/>
                <w:b/>
                <w:color w:val="000000"/>
                <w:sz w:val="24"/>
                <w:szCs w:val="24"/>
                <w:lang w:eastAsia="en-GB"/>
              </w:rPr>
              <w:t xml:space="preserve">Data Protection Officer </w:t>
            </w:r>
            <w:r w:rsidRPr="000A1085">
              <w:rPr>
                <w:rFonts w:cs="Calibri"/>
                <w:color w:val="000000"/>
                <w:sz w:val="24"/>
                <w:szCs w:val="24"/>
                <w:lang w:eastAsia="en-GB"/>
              </w:rPr>
              <w:t>contact details</w:t>
            </w:r>
          </w:p>
        </w:tc>
        <w:tc>
          <w:tcPr>
            <w:tcW w:w="6611" w:type="dxa"/>
            <w:shd w:val="clear" w:color="auto" w:fill="auto"/>
          </w:tcPr>
          <w:p w14:paraId="5CF8F96D" w14:textId="77777777" w:rsidR="00B95398" w:rsidRPr="000A1085" w:rsidRDefault="00B95398" w:rsidP="000A1085">
            <w:pPr>
              <w:rPr>
                <w:rFonts w:cs="Calibri"/>
                <w:sz w:val="24"/>
                <w:szCs w:val="24"/>
                <w:lang w:eastAsia="en-GB"/>
              </w:rPr>
            </w:pPr>
            <w:r w:rsidRPr="000A1085">
              <w:rPr>
                <w:rFonts w:cs="Calibri"/>
                <w:sz w:val="24"/>
                <w:szCs w:val="24"/>
                <w:lang w:eastAsia="en-GB"/>
              </w:rPr>
              <w:t>Information Governance Lead, Fern House Surgery, 125 – 129 Newland</w:t>
            </w:r>
            <w:r w:rsidR="00BA7DBA">
              <w:rPr>
                <w:rFonts w:cs="Calibri"/>
                <w:sz w:val="24"/>
                <w:szCs w:val="24"/>
                <w:lang w:eastAsia="en-GB"/>
              </w:rPr>
              <w:t xml:space="preserve"> Street, Witham, Essex CM8 1BH </w:t>
            </w:r>
          </w:p>
        </w:tc>
      </w:tr>
      <w:tr w:rsidR="00B95398" w:rsidRPr="000A1085" w14:paraId="22FBA000" w14:textId="77777777" w:rsidTr="000A1085">
        <w:tc>
          <w:tcPr>
            <w:tcW w:w="2405" w:type="dxa"/>
            <w:shd w:val="clear" w:color="auto" w:fill="auto"/>
          </w:tcPr>
          <w:p w14:paraId="61AE7B17" w14:textId="77777777" w:rsidR="00B95398" w:rsidRPr="000A1085" w:rsidRDefault="00B95398" w:rsidP="000A1085">
            <w:pPr>
              <w:rPr>
                <w:rFonts w:cs="Calibri"/>
                <w:sz w:val="24"/>
                <w:szCs w:val="24"/>
              </w:rPr>
            </w:pPr>
            <w:r w:rsidRPr="000A1085">
              <w:rPr>
                <w:rFonts w:cs="Calibri"/>
                <w:b/>
                <w:color w:val="000000"/>
                <w:sz w:val="24"/>
                <w:szCs w:val="24"/>
                <w:lang w:eastAsia="en-GB"/>
              </w:rPr>
              <w:lastRenderedPageBreak/>
              <w:t>Purpose</w:t>
            </w:r>
            <w:r w:rsidRPr="000A1085">
              <w:rPr>
                <w:rFonts w:cs="Calibri"/>
                <w:color w:val="000000"/>
                <w:sz w:val="24"/>
                <w:szCs w:val="24"/>
                <w:lang w:eastAsia="en-GB"/>
              </w:rPr>
              <w:t xml:space="preserve"> of the processing</w:t>
            </w:r>
          </w:p>
        </w:tc>
        <w:tc>
          <w:tcPr>
            <w:tcW w:w="6611" w:type="dxa"/>
            <w:shd w:val="clear" w:color="auto" w:fill="auto"/>
          </w:tcPr>
          <w:p w14:paraId="7DB4FA84" w14:textId="77777777" w:rsidR="00B95398" w:rsidRPr="00713ECE" w:rsidRDefault="00BA7DBA" w:rsidP="00BA7DBA">
            <w:pPr>
              <w:pStyle w:val="ListParagraph"/>
              <w:ind w:left="0"/>
              <w:contextualSpacing/>
              <w:rPr>
                <w:rFonts w:ascii="Calibri" w:hAnsi="Calibri" w:cs="Calibri"/>
                <w:sz w:val="22"/>
                <w:szCs w:val="22"/>
              </w:rPr>
            </w:pPr>
            <w:r w:rsidRPr="00713ECE">
              <w:rPr>
                <w:rFonts w:ascii="Calibri" w:hAnsi="Calibri"/>
                <w:color w:val="000000"/>
                <w:sz w:val="22"/>
                <w:szCs w:val="22"/>
                <w:lang w:eastAsia="en-GB"/>
              </w:rPr>
              <w:t>To enable GPs to receive payments. To provide accountability.</w:t>
            </w:r>
          </w:p>
        </w:tc>
      </w:tr>
      <w:tr w:rsidR="00B95398" w:rsidRPr="000A1085" w14:paraId="698B504E" w14:textId="77777777" w:rsidTr="000A1085">
        <w:trPr>
          <w:trHeight w:val="4552"/>
        </w:trPr>
        <w:tc>
          <w:tcPr>
            <w:tcW w:w="2405" w:type="dxa"/>
            <w:shd w:val="clear" w:color="auto" w:fill="auto"/>
          </w:tcPr>
          <w:p w14:paraId="2A35F831" w14:textId="77777777" w:rsidR="00B95398" w:rsidRPr="000A1085" w:rsidRDefault="00B95398" w:rsidP="000A1085">
            <w:pPr>
              <w:rPr>
                <w:rFonts w:cs="Calibri"/>
                <w:sz w:val="24"/>
                <w:szCs w:val="24"/>
              </w:rPr>
            </w:pPr>
            <w:r w:rsidRPr="000A1085">
              <w:rPr>
                <w:rFonts w:cs="Calibri"/>
                <w:b/>
                <w:color w:val="000000"/>
                <w:sz w:val="24"/>
                <w:szCs w:val="24"/>
                <w:lang w:eastAsia="en-GB"/>
              </w:rPr>
              <w:t>Lawful basis</w:t>
            </w:r>
            <w:r w:rsidRPr="000A1085">
              <w:rPr>
                <w:rFonts w:cs="Calibri"/>
                <w:color w:val="000000"/>
                <w:sz w:val="24"/>
                <w:szCs w:val="24"/>
                <w:lang w:eastAsia="en-GB"/>
              </w:rPr>
              <w:t xml:space="preserve"> for processing</w:t>
            </w:r>
          </w:p>
          <w:p w14:paraId="737F419F" w14:textId="77777777" w:rsidR="00B95398" w:rsidRPr="000A1085" w:rsidRDefault="00B95398" w:rsidP="000A1085">
            <w:pPr>
              <w:rPr>
                <w:rFonts w:cs="Calibri"/>
                <w:sz w:val="24"/>
                <w:szCs w:val="24"/>
              </w:rPr>
            </w:pPr>
          </w:p>
        </w:tc>
        <w:tc>
          <w:tcPr>
            <w:tcW w:w="6611" w:type="dxa"/>
            <w:shd w:val="clear" w:color="auto" w:fill="auto"/>
          </w:tcPr>
          <w:p w14:paraId="74055816" w14:textId="77777777" w:rsidR="00B95398" w:rsidRPr="000A1085" w:rsidRDefault="00B95398" w:rsidP="000A1085">
            <w:pPr>
              <w:rPr>
                <w:rFonts w:cs="Calibri"/>
                <w:color w:val="000000"/>
                <w:sz w:val="24"/>
                <w:szCs w:val="24"/>
                <w:lang w:eastAsia="en-GB"/>
              </w:rPr>
            </w:pPr>
            <w:r w:rsidRPr="000A1085">
              <w:rPr>
                <w:rFonts w:cs="Calibri"/>
                <w:sz w:val="24"/>
                <w:szCs w:val="24"/>
              </w:rPr>
              <w:t xml:space="preserve">These purposes are </w:t>
            </w:r>
            <w:r w:rsidRPr="000A1085">
              <w:rPr>
                <w:rFonts w:cs="Calibri"/>
                <w:color w:val="000000"/>
                <w:sz w:val="24"/>
                <w:szCs w:val="24"/>
                <w:lang w:eastAsia="en-GB"/>
              </w:rPr>
              <w:t>supported under the following sections of the GDPR:</w:t>
            </w:r>
          </w:p>
          <w:p w14:paraId="0C11306B" w14:textId="77777777" w:rsidR="00CA114A" w:rsidRPr="00713ECE" w:rsidRDefault="00CA114A" w:rsidP="00CA114A">
            <w:r w:rsidRPr="00713ECE">
              <w:rPr>
                <w:i/>
                <w:color w:val="000000"/>
                <w:lang w:eastAsia="en-GB"/>
              </w:rPr>
              <w:t>Article 6(1)(c) “</w:t>
            </w:r>
            <w:r w:rsidRPr="00713ECE">
              <w:rPr>
                <w:i/>
              </w:rPr>
              <w:t>processing is necessary for compliance with a legal obligation to which the controller is subject.”</w:t>
            </w:r>
            <w:r w:rsidRPr="00713ECE">
              <w:t xml:space="preserve"> </w:t>
            </w:r>
          </w:p>
          <w:p w14:paraId="0A7B260E" w14:textId="77777777" w:rsidR="00CA114A" w:rsidRPr="00713ECE" w:rsidRDefault="00CA114A" w:rsidP="00CA114A">
            <w:pPr>
              <w:rPr>
                <w:i/>
                <w:color w:val="000000"/>
                <w:lang w:eastAsia="en-GB"/>
              </w:rPr>
            </w:pPr>
            <w:r w:rsidRPr="00713ECE">
              <w:rPr>
                <w:i/>
                <w:color w:val="000000"/>
                <w:lang w:eastAsia="en-GB"/>
              </w:rPr>
              <w:t>and</w:t>
            </w:r>
          </w:p>
          <w:p w14:paraId="316FAEDE" w14:textId="77777777" w:rsidR="00CA114A" w:rsidRPr="00713ECE" w:rsidRDefault="00CA114A" w:rsidP="005E58B6">
            <w:pPr>
              <w:jc w:val="both"/>
              <w:rPr>
                <w:i/>
                <w:color w:val="000000"/>
              </w:rPr>
            </w:pPr>
            <w:r w:rsidRPr="00713ECE">
              <w:rPr>
                <w:i/>
                <w:color w:val="000000"/>
                <w:lang w:eastAsia="en-GB"/>
              </w:rPr>
              <w:t>Article 9(2)(h)</w:t>
            </w:r>
            <w:r w:rsidRPr="00713ECE">
              <w:rPr>
                <w:i/>
                <w:color w:val="000000"/>
              </w:rPr>
              <w:t xml:space="preserve"> ‘necessary for the purposes of preventative or occupational medicine for the assessment of the working capacity of the employee, medical diagnosis, the provision of health or social care or treatment or </w:t>
            </w:r>
            <w:r w:rsidRPr="00713ECE">
              <w:rPr>
                <w:b/>
                <w:i/>
                <w:color w:val="000000"/>
              </w:rPr>
              <w:t>the management of health or social care systems and services</w:t>
            </w:r>
            <w:r w:rsidRPr="00713ECE">
              <w:rPr>
                <w:i/>
                <w:color w:val="000000"/>
              </w:rPr>
              <w:t xml:space="preserve">...”  </w:t>
            </w:r>
          </w:p>
          <w:p w14:paraId="249454F0" w14:textId="77777777" w:rsidR="00B95398" w:rsidRPr="000A1085" w:rsidRDefault="00B95398" w:rsidP="000A1085">
            <w:pPr>
              <w:rPr>
                <w:rFonts w:cs="Calibri"/>
                <w:sz w:val="24"/>
                <w:szCs w:val="24"/>
              </w:rPr>
            </w:pPr>
            <w:r w:rsidRPr="000A1085">
              <w:rPr>
                <w:rFonts w:cs="Calibri"/>
                <w:color w:val="000000"/>
                <w:sz w:val="24"/>
                <w:szCs w:val="24"/>
              </w:rPr>
              <w:t>Healthcare staff will also respect and comply with their obligations under the common law duty of confidence.</w:t>
            </w:r>
          </w:p>
        </w:tc>
      </w:tr>
      <w:tr w:rsidR="00B95398" w:rsidRPr="000A1085" w14:paraId="69B0BE42" w14:textId="77777777" w:rsidTr="000A1085">
        <w:tc>
          <w:tcPr>
            <w:tcW w:w="2405" w:type="dxa"/>
            <w:shd w:val="clear" w:color="auto" w:fill="auto"/>
          </w:tcPr>
          <w:p w14:paraId="2094A75D" w14:textId="77777777" w:rsidR="00B95398" w:rsidRPr="000A1085" w:rsidRDefault="00B95398" w:rsidP="000A1085">
            <w:pPr>
              <w:rPr>
                <w:rFonts w:cs="Calibri"/>
                <w:color w:val="000000"/>
                <w:sz w:val="24"/>
                <w:szCs w:val="24"/>
                <w:lang w:eastAsia="en-GB"/>
              </w:rPr>
            </w:pPr>
            <w:r w:rsidRPr="000A1085">
              <w:rPr>
                <w:rFonts w:cs="Calibri"/>
                <w:b/>
                <w:color w:val="000000"/>
                <w:sz w:val="24"/>
                <w:szCs w:val="24"/>
                <w:lang w:eastAsia="en-GB"/>
              </w:rPr>
              <w:t xml:space="preserve">Recipient or categories of recipients </w:t>
            </w:r>
            <w:r w:rsidRPr="000A1085">
              <w:rPr>
                <w:rFonts w:cs="Calibri"/>
                <w:color w:val="000000"/>
                <w:sz w:val="24"/>
                <w:szCs w:val="24"/>
                <w:lang w:eastAsia="en-GB"/>
              </w:rPr>
              <w:t>of the processed data</w:t>
            </w:r>
          </w:p>
          <w:p w14:paraId="01E56B43" w14:textId="77777777" w:rsidR="00B95398" w:rsidRPr="000A1085" w:rsidRDefault="00B95398" w:rsidP="000A1085">
            <w:pPr>
              <w:rPr>
                <w:rFonts w:cs="Calibri"/>
                <w:sz w:val="24"/>
                <w:szCs w:val="24"/>
              </w:rPr>
            </w:pPr>
          </w:p>
        </w:tc>
        <w:tc>
          <w:tcPr>
            <w:tcW w:w="6611" w:type="dxa"/>
            <w:shd w:val="clear" w:color="auto" w:fill="auto"/>
          </w:tcPr>
          <w:p w14:paraId="59509FF6" w14:textId="77777777" w:rsidR="00BA7DBA" w:rsidRPr="009D0178" w:rsidRDefault="00BA7DBA" w:rsidP="00BA7DBA">
            <w:pPr>
              <w:spacing w:after="0" w:line="240" w:lineRule="auto"/>
              <w:jc w:val="both"/>
              <w:rPr>
                <w:color w:val="000000"/>
                <w:lang w:eastAsia="en-GB"/>
              </w:rPr>
            </w:pPr>
            <w:r w:rsidRPr="00BA7DBA">
              <w:rPr>
                <w:color w:val="000000"/>
                <w:lang w:eastAsia="en-GB"/>
              </w:rPr>
              <w:t xml:space="preserve">The data will be shared with Health and care professionals </w:t>
            </w:r>
            <w:r w:rsidRPr="009D0178">
              <w:rPr>
                <w:color w:val="000000"/>
                <w:lang w:eastAsia="en-GB"/>
              </w:rPr>
              <w:t xml:space="preserve">typically based within NHS England contracting departments or </w:t>
            </w:r>
            <w:r>
              <w:rPr>
                <w:color w:val="000000"/>
                <w:lang w:eastAsia="en-GB"/>
              </w:rPr>
              <w:t>Mid Essex</w:t>
            </w:r>
            <w:r w:rsidRPr="009D0178">
              <w:rPr>
                <w:color w:val="000000"/>
                <w:lang w:eastAsia="en-GB"/>
              </w:rPr>
              <w:t xml:space="preserve"> CCG as well as local or national public health teams.  </w:t>
            </w:r>
          </w:p>
          <w:p w14:paraId="05158A2C" w14:textId="77777777" w:rsidR="00BA7DBA" w:rsidRPr="009D0178" w:rsidRDefault="00BA7DBA" w:rsidP="00BA7DBA">
            <w:pPr>
              <w:spacing w:after="0" w:line="240" w:lineRule="auto"/>
              <w:jc w:val="both"/>
              <w:rPr>
                <w:color w:val="000000"/>
                <w:lang w:eastAsia="en-GB"/>
              </w:rPr>
            </w:pPr>
            <w:r w:rsidRPr="009D0178">
              <w:rPr>
                <w:color w:val="000000"/>
                <w:lang w:eastAsia="en-GB"/>
              </w:rPr>
              <w:t>Data supplied has no direct patient identifiers beyond the NHS number which is used to check that a patient is registered with the practice and therefore eligible for the service provided.</w:t>
            </w:r>
          </w:p>
          <w:p w14:paraId="26627062" w14:textId="77777777" w:rsidR="00B95398" w:rsidRDefault="00BA7DBA" w:rsidP="00BA7DBA">
            <w:pPr>
              <w:spacing w:after="0" w:line="240" w:lineRule="auto"/>
              <w:jc w:val="both"/>
              <w:rPr>
                <w:color w:val="000000"/>
                <w:lang w:eastAsia="en-GB"/>
              </w:rPr>
            </w:pPr>
            <w:r w:rsidRPr="009D0178">
              <w:rPr>
                <w:color w:val="000000"/>
                <w:lang w:eastAsia="en-GB"/>
              </w:rPr>
              <w:t>Where the practice is contributing to research no data will be disclosed without clear, unambi</w:t>
            </w:r>
            <w:r>
              <w:rPr>
                <w:color w:val="000000"/>
                <w:lang w:eastAsia="en-GB"/>
              </w:rPr>
              <w:t>guous consent from the patient.</w:t>
            </w:r>
          </w:p>
          <w:p w14:paraId="297E347F" w14:textId="77777777" w:rsidR="00BA7DBA" w:rsidRPr="00BA7DBA" w:rsidRDefault="00BA7DBA" w:rsidP="00BA7DBA">
            <w:pPr>
              <w:spacing w:after="0" w:line="240" w:lineRule="auto"/>
              <w:jc w:val="both"/>
              <w:rPr>
                <w:color w:val="000000"/>
                <w:lang w:eastAsia="en-GB"/>
              </w:rPr>
            </w:pPr>
          </w:p>
        </w:tc>
      </w:tr>
      <w:tr w:rsidR="00B95398" w:rsidRPr="000A1085" w14:paraId="0AD6DECC" w14:textId="77777777" w:rsidTr="000A1085">
        <w:tc>
          <w:tcPr>
            <w:tcW w:w="2405" w:type="dxa"/>
            <w:shd w:val="clear" w:color="auto" w:fill="auto"/>
          </w:tcPr>
          <w:p w14:paraId="3C7FC6D0" w14:textId="77777777" w:rsidR="00B95398" w:rsidRPr="000A1085" w:rsidRDefault="00B95398" w:rsidP="000A1085">
            <w:pPr>
              <w:rPr>
                <w:rFonts w:cs="Calibri"/>
                <w:sz w:val="24"/>
                <w:szCs w:val="24"/>
              </w:rPr>
            </w:pPr>
            <w:r w:rsidRPr="000A1085">
              <w:rPr>
                <w:rFonts w:cs="Calibri"/>
                <w:b/>
                <w:color w:val="000000"/>
                <w:sz w:val="24"/>
                <w:szCs w:val="24"/>
                <w:lang w:eastAsia="en-GB"/>
              </w:rPr>
              <w:t>Rights to object</w:t>
            </w:r>
          </w:p>
          <w:p w14:paraId="0CFAF56E" w14:textId="77777777" w:rsidR="00B95398" w:rsidRPr="000A1085" w:rsidRDefault="00B95398" w:rsidP="000A1085">
            <w:pPr>
              <w:rPr>
                <w:rFonts w:cs="Calibri"/>
                <w:sz w:val="24"/>
                <w:szCs w:val="24"/>
              </w:rPr>
            </w:pPr>
          </w:p>
        </w:tc>
        <w:tc>
          <w:tcPr>
            <w:tcW w:w="6611" w:type="dxa"/>
            <w:shd w:val="clear" w:color="auto" w:fill="auto"/>
          </w:tcPr>
          <w:p w14:paraId="12A6249A" w14:textId="77777777" w:rsidR="00B95398" w:rsidRPr="00713ECE" w:rsidRDefault="00BA7DBA" w:rsidP="00BA7DBA">
            <w:pPr>
              <w:pStyle w:val="ListParagraph"/>
              <w:ind w:left="0"/>
              <w:contextualSpacing/>
              <w:jc w:val="both"/>
              <w:rPr>
                <w:rFonts w:ascii="Calibri" w:hAnsi="Calibri" w:cs="Calibri"/>
                <w:sz w:val="22"/>
                <w:szCs w:val="22"/>
              </w:rPr>
            </w:pPr>
            <w:r w:rsidRPr="00713ECE">
              <w:rPr>
                <w:rFonts w:ascii="Calibri" w:hAnsi="Calibri"/>
                <w:color w:val="000000"/>
                <w:sz w:val="22"/>
                <w:szCs w:val="22"/>
                <w:lang w:eastAsia="en-GB"/>
              </w:rPr>
              <w:t xml:space="preserve">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 </w:t>
            </w:r>
          </w:p>
        </w:tc>
      </w:tr>
      <w:tr w:rsidR="00B95398" w:rsidRPr="000A1085" w14:paraId="59D18137" w14:textId="77777777" w:rsidTr="000A1085">
        <w:tc>
          <w:tcPr>
            <w:tcW w:w="2405" w:type="dxa"/>
            <w:shd w:val="clear" w:color="auto" w:fill="auto"/>
          </w:tcPr>
          <w:p w14:paraId="702DEA15" w14:textId="77777777" w:rsidR="00B95398" w:rsidRPr="000A1085" w:rsidRDefault="00B95398" w:rsidP="000A1085">
            <w:pPr>
              <w:rPr>
                <w:rFonts w:cs="Calibri"/>
                <w:sz w:val="24"/>
                <w:szCs w:val="24"/>
              </w:rPr>
            </w:pPr>
            <w:r w:rsidRPr="000A1085">
              <w:rPr>
                <w:rFonts w:cs="Calibri"/>
                <w:b/>
                <w:color w:val="000000"/>
                <w:sz w:val="24"/>
                <w:szCs w:val="24"/>
                <w:lang w:eastAsia="en-GB"/>
              </w:rPr>
              <w:t>Right to access and correct</w:t>
            </w:r>
          </w:p>
        </w:tc>
        <w:tc>
          <w:tcPr>
            <w:tcW w:w="6611" w:type="dxa"/>
            <w:shd w:val="clear" w:color="auto" w:fill="auto"/>
          </w:tcPr>
          <w:p w14:paraId="2C7A2DC1" w14:textId="77777777" w:rsidR="00B95398" w:rsidRPr="000A1085" w:rsidRDefault="00B95398" w:rsidP="000A1085">
            <w:pPr>
              <w:pStyle w:val="ListParagraph"/>
              <w:numPr>
                <w:ilvl w:val="0"/>
                <w:numId w:val="16"/>
              </w:numPr>
              <w:contextualSpacing/>
              <w:rPr>
                <w:rFonts w:ascii="Calibri" w:hAnsi="Calibri" w:cs="Calibri"/>
                <w:lang w:eastAsia="en-GB"/>
              </w:rPr>
            </w:pPr>
            <w:r w:rsidRPr="000A1085">
              <w:rPr>
                <w:rFonts w:ascii="Calibri" w:hAnsi="Calibri" w:cs="Calibri"/>
                <w:color w:val="000000"/>
                <w:lang w:eastAsia="en-GB"/>
              </w:rPr>
              <w:t xml:space="preserve">You have the right to access your medical record and have any errors or mistakes corrected. </w:t>
            </w:r>
            <w:r w:rsidRPr="000A1085">
              <w:rPr>
                <w:rFonts w:ascii="Calibri" w:hAnsi="Calibri" w:cs="Calibri"/>
                <w:lang w:eastAsia="en-GB"/>
              </w:rPr>
              <w:t>I</w:t>
            </w:r>
            <w:proofErr w:type="spellStart"/>
            <w:r w:rsidRPr="000A1085">
              <w:rPr>
                <w:rFonts w:ascii="Calibri" w:hAnsi="Calibri" w:cs="Arial"/>
                <w:lang w:val="en-US"/>
              </w:rPr>
              <w:t>f</w:t>
            </w:r>
            <w:proofErr w:type="spellEnd"/>
            <w:r w:rsidRPr="000A1085">
              <w:rPr>
                <w:rFonts w:ascii="Calibri" w:hAnsi="Calibri" w:cs="Arial"/>
                <w:lang w:val="en-US"/>
              </w:rPr>
              <w:t xml:space="preserve"> you would like to access this information, you will need to complete a Subject Access Request (SAR). Please ask at reception for a SAR form</w:t>
            </w:r>
            <w:r w:rsidR="00042431">
              <w:rPr>
                <w:rFonts w:ascii="Calibri" w:hAnsi="Calibri" w:cs="Arial"/>
                <w:lang w:val="en-US"/>
              </w:rPr>
              <w:t>.</w:t>
            </w:r>
          </w:p>
          <w:p w14:paraId="6639FDFB" w14:textId="77777777" w:rsidR="00B95398" w:rsidRPr="00BA7DBA" w:rsidRDefault="00B95398" w:rsidP="00BA7DBA">
            <w:pPr>
              <w:numPr>
                <w:ilvl w:val="0"/>
                <w:numId w:val="16"/>
              </w:numPr>
              <w:spacing w:after="160" w:line="252" w:lineRule="auto"/>
              <w:contextualSpacing/>
              <w:rPr>
                <w:rFonts w:eastAsia="Times New Roman"/>
                <w:color w:val="000000"/>
                <w:sz w:val="24"/>
                <w:szCs w:val="24"/>
                <w:lang w:eastAsia="en-GB"/>
              </w:rPr>
            </w:pPr>
            <w:r w:rsidRPr="000A1085">
              <w:rPr>
                <w:rFonts w:eastAsia="Times New Roman"/>
                <w:color w:val="000000"/>
                <w:sz w:val="24"/>
                <w:szCs w:val="24"/>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95398" w:rsidRPr="000A1085" w14:paraId="3DFACE10" w14:textId="77777777" w:rsidTr="000A1085">
        <w:tc>
          <w:tcPr>
            <w:tcW w:w="2405" w:type="dxa"/>
            <w:shd w:val="clear" w:color="auto" w:fill="auto"/>
          </w:tcPr>
          <w:p w14:paraId="5556FE8F"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Retention period</w:t>
            </w:r>
          </w:p>
          <w:p w14:paraId="05709D27" w14:textId="77777777" w:rsidR="00B95398" w:rsidRPr="000A1085" w:rsidRDefault="00B95398" w:rsidP="000A1085">
            <w:pPr>
              <w:rPr>
                <w:rFonts w:cs="Calibri"/>
                <w:sz w:val="24"/>
                <w:szCs w:val="24"/>
              </w:rPr>
            </w:pPr>
          </w:p>
        </w:tc>
        <w:tc>
          <w:tcPr>
            <w:tcW w:w="6611" w:type="dxa"/>
            <w:shd w:val="clear" w:color="auto" w:fill="auto"/>
          </w:tcPr>
          <w:p w14:paraId="4C49958B" w14:textId="77777777" w:rsidR="00B95398" w:rsidRPr="000A1085" w:rsidRDefault="00B95398" w:rsidP="000A1085">
            <w:pPr>
              <w:rPr>
                <w:rFonts w:cs="Calibri"/>
                <w:color w:val="0000FF"/>
                <w:sz w:val="24"/>
                <w:szCs w:val="24"/>
                <w:u w:val="single"/>
                <w:lang w:eastAsia="en-GB"/>
              </w:rPr>
            </w:pPr>
            <w:r w:rsidRPr="000A1085">
              <w:rPr>
                <w:rFonts w:cs="Calibri"/>
                <w:color w:val="000000"/>
                <w:sz w:val="24"/>
                <w:szCs w:val="24"/>
                <w:lang w:eastAsia="en-GB"/>
              </w:rPr>
              <w:t xml:space="preserve">GP medical records will be kept in line with the law and national guidance. Information on how long records are kept can be found at: </w:t>
            </w:r>
            <w:hyperlink r:id="rId12" w:history="1">
              <w:r w:rsidRPr="000A1085">
                <w:rPr>
                  <w:rStyle w:val="Hyperlink"/>
                  <w:rFonts w:cs="Calibri"/>
                  <w:sz w:val="24"/>
                  <w:szCs w:val="24"/>
                  <w:lang w:eastAsia="en-GB"/>
                </w:rPr>
                <w:t>https://digital.nhs.uk/article/1202/Records-Management-Code-of-Practice-for-Health-and-Social-Care-2016</w:t>
              </w:r>
            </w:hyperlink>
            <w:r w:rsidRPr="000A1085">
              <w:rPr>
                <w:rStyle w:val="Hyperlink"/>
                <w:rFonts w:cs="Calibri"/>
                <w:sz w:val="24"/>
                <w:szCs w:val="24"/>
                <w:lang w:eastAsia="en-GB"/>
              </w:rPr>
              <w:t xml:space="preserve"> </w:t>
            </w:r>
          </w:p>
        </w:tc>
      </w:tr>
      <w:tr w:rsidR="00B95398" w:rsidRPr="000A1085" w14:paraId="627A9E36" w14:textId="77777777" w:rsidTr="000A1085">
        <w:tc>
          <w:tcPr>
            <w:tcW w:w="2405" w:type="dxa"/>
            <w:shd w:val="clear" w:color="auto" w:fill="auto"/>
          </w:tcPr>
          <w:p w14:paraId="59C00A1C"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lastRenderedPageBreak/>
              <w:t>Right to complain</w:t>
            </w:r>
          </w:p>
          <w:p w14:paraId="3750CD42" w14:textId="77777777" w:rsidR="00B95398" w:rsidRPr="000A1085" w:rsidRDefault="00B95398" w:rsidP="000A1085">
            <w:pPr>
              <w:rPr>
                <w:rFonts w:cs="Calibri"/>
                <w:sz w:val="24"/>
                <w:szCs w:val="24"/>
              </w:rPr>
            </w:pPr>
          </w:p>
        </w:tc>
        <w:tc>
          <w:tcPr>
            <w:tcW w:w="6611" w:type="dxa"/>
            <w:shd w:val="clear" w:color="auto" w:fill="auto"/>
          </w:tcPr>
          <w:p w14:paraId="31DF24D6" w14:textId="77777777" w:rsidR="00B95398" w:rsidRPr="000A1085" w:rsidRDefault="00B95398" w:rsidP="000A1085">
            <w:pPr>
              <w:rPr>
                <w:rStyle w:val="Strong"/>
                <w:b w:val="0"/>
                <w:sz w:val="24"/>
                <w:szCs w:val="24"/>
              </w:rPr>
            </w:pPr>
            <w:r w:rsidRPr="000A1085">
              <w:rPr>
                <w:rFonts w:cs="Calibri"/>
                <w:color w:val="000000"/>
                <w:sz w:val="24"/>
                <w:szCs w:val="24"/>
                <w:lang w:eastAsia="en-GB"/>
              </w:rPr>
              <w:t>You have the right to complain to the Information Commissioner’s Office. If you wish to complain follow this link</w:t>
            </w:r>
            <w:r w:rsidRPr="000A1085">
              <w:rPr>
                <w:rFonts w:cs="Calibri"/>
                <w:sz w:val="24"/>
                <w:szCs w:val="24"/>
              </w:rPr>
              <w:t xml:space="preserve"> </w:t>
            </w:r>
            <w:hyperlink r:id="rId13" w:history="1">
              <w:r w:rsidRPr="000A1085">
                <w:rPr>
                  <w:rStyle w:val="Hyperlink"/>
                  <w:rFonts w:cs="Calibri"/>
                  <w:sz w:val="24"/>
                  <w:szCs w:val="24"/>
                  <w:lang w:eastAsia="en-GB"/>
                </w:rPr>
                <w:t>https://ico.org.uk/global/contact-us/</w:t>
              </w:r>
            </w:hyperlink>
            <w:r w:rsidRPr="000A1085">
              <w:rPr>
                <w:rStyle w:val="Hyperlink"/>
                <w:rFonts w:cs="Calibri"/>
                <w:sz w:val="24"/>
                <w:szCs w:val="24"/>
                <w:lang w:eastAsia="en-GB"/>
              </w:rPr>
              <w:t xml:space="preserve"> or call the helpline </w:t>
            </w:r>
            <w:r w:rsidRPr="000A1085">
              <w:rPr>
                <w:rStyle w:val="Strong"/>
                <w:sz w:val="24"/>
                <w:szCs w:val="24"/>
              </w:rPr>
              <w:t>0303 123 1113</w:t>
            </w:r>
          </w:p>
          <w:p w14:paraId="5894E0A2" w14:textId="77777777" w:rsidR="00B95398" w:rsidRPr="000A1085" w:rsidRDefault="00B95398" w:rsidP="000A1085">
            <w:pPr>
              <w:rPr>
                <w:rFonts w:cs="Calibri"/>
                <w:sz w:val="24"/>
                <w:szCs w:val="24"/>
                <w:lang w:eastAsia="en-GB"/>
              </w:rPr>
            </w:pPr>
          </w:p>
        </w:tc>
      </w:tr>
      <w:tr w:rsidR="00B95398" w:rsidRPr="000A1085" w14:paraId="687276F2" w14:textId="77777777" w:rsidTr="000A1085">
        <w:tc>
          <w:tcPr>
            <w:tcW w:w="2405" w:type="dxa"/>
            <w:shd w:val="clear" w:color="auto" w:fill="auto"/>
          </w:tcPr>
          <w:p w14:paraId="15146505" w14:textId="77777777" w:rsidR="00B95398" w:rsidRPr="000A1085" w:rsidRDefault="00B95398" w:rsidP="000A1085">
            <w:pPr>
              <w:rPr>
                <w:rFonts w:cs="Calibri"/>
                <w:b/>
                <w:color w:val="000000"/>
                <w:sz w:val="24"/>
                <w:szCs w:val="24"/>
                <w:lang w:eastAsia="en-GB"/>
              </w:rPr>
            </w:pPr>
            <w:r w:rsidRPr="000A1085">
              <w:rPr>
                <w:rFonts w:cs="Calibri"/>
                <w:b/>
                <w:color w:val="000000"/>
                <w:sz w:val="24"/>
                <w:szCs w:val="24"/>
                <w:lang w:eastAsia="en-GB"/>
              </w:rPr>
              <w:t>Data we get from other organisations</w:t>
            </w:r>
          </w:p>
        </w:tc>
        <w:tc>
          <w:tcPr>
            <w:tcW w:w="6611" w:type="dxa"/>
            <w:shd w:val="clear" w:color="auto" w:fill="auto"/>
          </w:tcPr>
          <w:p w14:paraId="4A743DC4" w14:textId="77777777" w:rsidR="00B95398" w:rsidRPr="000A1085" w:rsidRDefault="00B95398" w:rsidP="000A1085">
            <w:pPr>
              <w:rPr>
                <w:rFonts w:cs="Calibri"/>
                <w:color w:val="000000"/>
                <w:sz w:val="24"/>
                <w:szCs w:val="24"/>
                <w:lang w:eastAsia="en-GB"/>
              </w:rPr>
            </w:pPr>
            <w:r w:rsidRPr="000A1085">
              <w:rPr>
                <w:rFonts w:cs="Calibri"/>
                <w:color w:val="000000"/>
                <w:sz w:val="24"/>
                <w:szCs w:val="24"/>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0A4A0D97" w14:textId="77777777" w:rsidR="008B28A6" w:rsidRPr="000A1085" w:rsidRDefault="008B28A6" w:rsidP="00AF418D">
      <w:pPr>
        <w:rPr>
          <w:b/>
          <w:bCs/>
          <w:i/>
          <w:iCs/>
          <w:color w:val="1F497D"/>
          <w:sz w:val="24"/>
          <w:szCs w:val="24"/>
          <w:lang w:eastAsia="en-GB"/>
        </w:rPr>
      </w:pPr>
    </w:p>
    <w:sectPr w:rsidR="008B28A6" w:rsidRPr="000A1085" w:rsidSect="003951F8">
      <w:footerReference w:type="default" r:id="rId14"/>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BF2B9" w14:textId="77777777" w:rsidR="00713ECE" w:rsidRDefault="00713ECE" w:rsidP="00C17D56">
      <w:pPr>
        <w:spacing w:after="0" w:line="240" w:lineRule="auto"/>
      </w:pPr>
      <w:r>
        <w:separator/>
      </w:r>
    </w:p>
  </w:endnote>
  <w:endnote w:type="continuationSeparator" w:id="0">
    <w:p w14:paraId="61BFE4E3" w14:textId="77777777" w:rsidR="00713ECE" w:rsidRDefault="00713ECE"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25D" w14:textId="77777777" w:rsidR="005E58B6" w:rsidRDefault="005E58B6" w:rsidP="00C17D56">
    <w:pPr>
      <w:pStyle w:val="Footer"/>
      <w:jc w:val="center"/>
      <w:rPr>
        <w:sz w:val="14"/>
        <w:szCs w:val="14"/>
      </w:rPr>
    </w:pPr>
  </w:p>
  <w:p w14:paraId="1D6352E9" w14:textId="77777777" w:rsidR="005E58B6" w:rsidRDefault="005E58B6"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E2663" w14:textId="77777777" w:rsidR="00713ECE" w:rsidRDefault="00713ECE" w:rsidP="00C17D56">
      <w:pPr>
        <w:spacing w:after="0" w:line="240" w:lineRule="auto"/>
      </w:pPr>
      <w:r>
        <w:separator/>
      </w:r>
    </w:p>
  </w:footnote>
  <w:footnote w:type="continuationSeparator" w:id="0">
    <w:p w14:paraId="652DB815" w14:textId="77777777" w:rsidR="00713ECE" w:rsidRDefault="00713ECE"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176743">
    <w:abstractNumId w:val="3"/>
  </w:num>
  <w:num w:numId="2" w16cid:durableId="1638803264">
    <w:abstractNumId w:val="8"/>
  </w:num>
  <w:num w:numId="3" w16cid:durableId="200016521">
    <w:abstractNumId w:val="7"/>
  </w:num>
  <w:num w:numId="4" w16cid:durableId="1798571083">
    <w:abstractNumId w:val="4"/>
  </w:num>
  <w:num w:numId="5" w16cid:durableId="1536040869">
    <w:abstractNumId w:val="5"/>
  </w:num>
  <w:num w:numId="6" w16cid:durableId="920679341">
    <w:abstractNumId w:val="1"/>
    <w:lvlOverride w:ilvl="0"/>
    <w:lvlOverride w:ilvl="1"/>
    <w:lvlOverride w:ilvl="2"/>
    <w:lvlOverride w:ilvl="3"/>
    <w:lvlOverride w:ilvl="4"/>
    <w:lvlOverride w:ilvl="5"/>
    <w:lvlOverride w:ilvl="6"/>
    <w:lvlOverride w:ilvl="7"/>
    <w:lvlOverride w:ilvl="8"/>
  </w:num>
  <w:num w:numId="7" w16cid:durableId="326860738">
    <w:abstractNumId w:val="1"/>
  </w:num>
  <w:num w:numId="8" w16cid:durableId="2082944943">
    <w:abstractNumId w:val="9"/>
  </w:num>
  <w:num w:numId="9" w16cid:durableId="1839271452">
    <w:abstractNumId w:val="15"/>
  </w:num>
  <w:num w:numId="10" w16cid:durableId="2084641307">
    <w:abstractNumId w:val="11"/>
  </w:num>
  <w:num w:numId="11" w16cid:durableId="758478785">
    <w:abstractNumId w:val="12"/>
  </w:num>
  <w:num w:numId="12" w16cid:durableId="1800610848">
    <w:abstractNumId w:val="13"/>
  </w:num>
  <w:num w:numId="13" w16cid:durableId="518474758">
    <w:abstractNumId w:val="10"/>
  </w:num>
  <w:num w:numId="14" w16cid:durableId="1426876642">
    <w:abstractNumId w:val="6"/>
  </w:num>
  <w:num w:numId="15" w16cid:durableId="1675299098">
    <w:abstractNumId w:val="0"/>
  </w:num>
  <w:num w:numId="16" w16cid:durableId="1444963187">
    <w:abstractNumId w:val="14"/>
  </w:num>
  <w:num w:numId="17" w16cid:durableId="2095007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13DAD"/>
    <w:rsid w:val="00031462"/>
    <w:rsid w:val="00042431"/>
    <w:rsid w:val="00082B4B"/>
    <w:rsid w:val="000A1085"/>
    <w:rsid w:val="000A1FB3"/>
    <w:rsid w:val="000D3788"/>
    <w:rsid w:val="00114FE2"/>
    <w:rsid w:val="00142F46"/>
    <w:rsid w:val="001806A9"/>
    <w:rsid w:val="001B6CF1"/>
    <w:rsid w:val="001D6101"/>
    <w:rsid w:val="00210EDE"/>
    <w:rsid w:val="0022186A"/>
    <w:rsid w:val="002315BF"/>
    <w:rsid w:val="00272598"/>
    <w:rsid w:val="00293044"/>
    <w:rsid w:val="002A70C1"/>
    <w:rsid w:val="00310A02"/>
    <w:rsid w:val="0032585C"/>
    <w:rsid w:val="00347E21"/>
    <w:rsid w:val="00385D7B"/>
    <w:rsid w:val="003951F8"/>
    <w:rsid w:val="003E7623"/>
    <w:rsid w:val="0042547F"/>
    <w:rsid w:val="00463E17"/>
    <w:rsid w:val="004675DD"/>
    <w:rsid w:val="0048522B"/>
    <w:rsid w:val="004B488B"/>
    <w:rsid w:val="0050473D"/>
    <w:rsid w:val="00505683"/>
    <w:rsid w:val="00574BF3"/>
    <w:rsid w:val="0059555B"/>
    <w:rsid w:val="005A0B83"/>
    <w:rsid w:val="005B14D5"/>
    <w:rsid w:val="005E58B6"/>
    <w:rsid w:val="005F4452"/>
    <w:rsid w:val="0060749B"/>
    <w:rsid w:val="006A3466"/>
    <w:rsid w:val="00713ECE"/>
    <w:rsid w:val="00732667"/>
    <w:rsid w:val="00775A90"/>
    <w:rsid w:val="007A1EC0"/>
    <w:rsid w:val="007F0A3C"/>
    <w:rsid w:val="007F1E7F"/>
    <w:rsid w:val="00817C73"/>
    <w:rsid w:val="008407D0"/>
    <w:rsid w:val="0086076D"/>
    <w:rsid w:val="0088209C"/>
    <w:rsid w:val="008A2167"/>
    <w:rsid w:val="008B28A6"/>
    <w:rsid w:val="00920AB1"/>
    <w:rsid w:val="009455EE"/>
    <w:rsid w:val="009A7F75"/>
    <w:rsid w:val="00A13D59"/>
    <w:rsid w:val="00A23412"/>
    <w:rsid w:val="00A31ED8"/>
    <w:rsid w:val="00AA45B8"/>
    <w:rsid w:val="00AA4986"/>
    <w:rsid w:val="00AD6CB3"/>
    <w:rsid w:val="00AF418D"/>
    <w:rsid w:val="00B42ABA"/>
    <w:rsid w:val="00B64DA6"/>
    <w:rsid w:val="00B95398"/>
    <w:rsid w:val="00BA7DBA"/>
    <w:rsid w:val="00BB0881"/>
    <w:rsid w:val="00C00E7B"/>
    <w:rsid w:val="00C07D8C"/>
    <w:rsid w:val="00C17D56"/>
    <w:rsid w:val="00C63851"/>
    <w:rsid w:val="00C64626"/>
    <w:rsid w:val="00C91CEC"/>
    <w:rsid w:val="00C966E7"/>
    <w:rsid w:val="00C97591"/>
    <w:rsid w:val="00CA114A"/>
    <w:rsid w:val="00D31F29"/>
    <w:rsid w:val="00D82F50"/>
    <w:rsid w:val="00DB06CE"/>
    <w:rsid w:val="00DC7634"/>
    <w:rsid w:val="00E749AB"/>
    <w:rsid w:val="00E83274"/>
    <w:rsid w:val="00E8456C"/>
    <w:rsid w:val="00E90989"/>
    <w:rsid w:val="00EE701C"/>
    <w:rsid w:val="00F02521"/>
    <w:rsid w:val="00F030F5"/>
    <w:rsid w:val="00F3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85A600"/>
  <w15:chartTrackingRefBased/>
  <w15:docId w15:val="{00B5E8E9-E593-44B5-B805-57BE68E93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o.org.uk/global/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history.net/gppay.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gital.nhs.uk/catalogue/PUB30089" TargetMode="External"/><Relationship Id="rId4" Type="http://schemas.openxmlformats.org/officeDocument/2006/relationships/settings" Target="settings.xml"/><Relationship Id="rId9" Type="http://schemas.openxmlformats.org/officeDocument/2006/relationships/hyperlink" Target="https://digital.nhs.uk/NHAIS/gp-pay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3A73-8CB6-4049-82E3-9BC37C8D3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5624</CharactersWithSpaces>
  <SharedDoc>false</SharedDoc>
  <HLinks>
    <vt:vector size="30" baseType="variant">
      <vt:variant>
        <vt:i4>720923</vt:i4>
      </vt:variant>
      <vt:variant>
        <vt:i4>12</vt:i4>
      </vt:variant>
      <vt:variant>
        <vt:i4>0</vt:i4>
      </vt:variant>
      <vt:variant>
        <vt:i4>5</vt:i4>
      </vt:variant>
      <vt:variant>
        <vt:lpwstr>https://ico.org.uk/global/contact-us/</vt:lpwstr>
      </vt:variant>
      <vt:variant>
        <vt:lpwstr/>
      </vt:variant>
      <vt:variant>
        <vt:i4>6488106</vt:i4>
      </vt:variant>
      <vt:variant>
        <vt:i4>9</vt:i4>
      </vt:variant>
      <vt:variant>
        <vt:i4>0</vt:i4>
      </vt:variant>
      <vt:variant>
        <vt:i4>5</vt:i4>
      </vt:variant>
      <vt:variant>
        <vt:lpwstr>https://digital.nhs.uk/article/1202/Records-Management-Code-of-Practice-for-Health-and-Social-Care-2016</vt:lpwstr>
      </vt:variant>
      <vt:variant>
        <vt:lpwstr/>
      </vt:variant>
      <vt:variant>
        <vt:i4>6684721</vt:i4>
      </vt:variant>
      <vt:variant>
        <vt:i4>6</vt:i4>
      </vt:variant>
      <vt:variant>
        <vt:i4>0</vt:i4>
      </vt:variant>
      <vt:variant>
        <vt:i4>5</vt:i4>
      </vt:variant>
      <vt:variant>
        <vt:lpwstr>http://www.nhshistory.net/gppay.pdf</vt:lpwstr>
      </vt:variant>
      <vt:variant>
        <vt:lpwstr/>
      </vt:variant>
      <vt:variant>
        <vt:i4>1048671</vt:i4>
      </vt:variant>
      <vt:variant>
        <vt:i4>3</vt:i4>
      </vt:variant>
      <vt:variant>
        <vt:i4>0</vt:i4>
      </vt:variant>
      <vt:variant>
        <vt:i4>5</vt:i4>
      </vt:variant>
      <vt:variant>
        <vt:lpwstr>https://digital.nhs.uk/catalogue/PUB30089</vt:lpwstr>
      </vt:variant>
      <vt:variant>
        <vt:lpwstr/>
      </vt:variant>
      <vt:variant>
        <vt:i4>5505114</vt:i4>
      </vt:variant>
      <vt:variant>
        <vt:i4>0</vt:i4>
      </vt:variant>
      <vt:variant>
        <vt:i4>0</vt:i4>
      </vt:variant>
      <vt:variant>
        <vt:i4>5</vt:i4>
      </vt:variant>
      <vt:variant>
        <vt:lpwstr>https://digital.nhs.uk/NHAIS/gp-payments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2018-05-24T09:19:00Z</cp:lastPrinted>
  <dcterms:created xsi:type="dcterms:W3CDTF">2022-07-26T10:23:00Z</dcterms:created>
  <dcterms:modified xsi:type="dcterms:W3CDTF">2022-07-26T10:23:00Z</dcterms:modified>
</cp:coreProperties>
</file>