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70"/>
        <w:tblW w:w="0" w:type="auto"/>
        <w:tblLook w:val="04A0" w:firstRow="1" w:lastRow="0" w:firstColumn="1" w:lastColumn="0" w:noHBand="0" w:noVBand="1"/>
      </w:tblPr>
      <w:tblGrid>
        <w:gridCol w:w="1857"/>
      </w:tblGrid>
      <w:tr w:rsidR="00F02521" w:rsidTr="002A70C1">
        <w:trPr>
          <w:trHeight w:val="2160"/>
        </w:trPr>
        <w:tc>
          <w:tcPr>
            <w:tcW w:w="1857" w:type="dxa"/>
            <w:tcBorders>
              <w:top w:val="nil"/>
              <w:left w:val="nil"/>
              <w:bottom w:val="nil"/>
              <w:right w:val="nil"/>
            </w:tcBorders>
          </w:tcPr>
          <w:p w:rsidR="00F02521" w:rsidRDefault="00F02521" w:rsidP="002A70C1">
            <w:pPr>
              <w:rPr>
                <w:b/>
              </w:rPr>
            </w:pPr>
            <w:bookmarkStart w:id="0" w:name="_GoBack"/>
            <w:bookmarkEnd w:id="0"/>
            <w:r w:rsidRPr="00F02521">
              <w:rPr>
                <w:b/>
              </w:rPr>
              <w:t>Dr. D.E. Beatty</w:t>
            </w:r>
          </w:p>
          <w:p w:rsidR="003E4778" w:rsidRPr="00F02521" w:rsidRDefault="003E4778" w:rsidP="002A70C1">
            <w:pPr>
              <w:rPr>
                <w:b/>
              </w:rPr>
            </w:pPr>
            <w:r w:rsidRPr="00F02521">
              <w:rPr>
                <w:b/>
              </w:rPr>
              <w:t>Dr. E. Teverson</w:t>
            </w:r>
          </w:p>
          <w:p w:rsidR="00F02521" w:rsidRPr="00F02521" w:rsidRDefault="00F02521" w:rsidP="002A70C1">
            <w:pPr>
              <w:rPr>
                <w:b/>
              </w:rPr>
            </w:pPr>
            <w:r w:rsidRPr="00F02521">
              <w:rPr>
                <w:b/>
              </w:rPr>
              <w:t>Dr. J.P. Hopcroft</w:t>
            </w:r>
          </w:p>
          <w:p w:rsidR="00F02521" w:rsidRPr="00F02521" w:rsidRDefault="00F02521" w:rsidP="002A70C1">
            <w:pPr>
              <w:rPr>
                <w:b/>
              </w:rPr>
            </w:pPr>
            <w:r w:rsidRPr="00F02521">
              <w:rPr>
                <w:b/>
              </w:rPr>
              <w:t>Dr. R.T. Summers</w:t>
            </w:r>
          </w:p>
          <w:p w:rsidR="00F02521" w:rsidRPr="00F02521" w:rsidRDefault="00F02521" w:rsidP="002A70C1">
            <w:pPr>
              <w:rPr>
                <w:b/>
              </w:rPr>
            </w:pPr>
            <w:r w:rsidRPr="00F02521">
              <w:rPr>
                <w:b/>
              </w:rPr>
              <w:t>Dr. C.J. Wright</w:t>
            </w:r>
          </w:p>
          <w:p w:rsidR="00F02521" w:rsidRPr="00F02521" w:rsidRDefault="00F02521" w:rsidP="002A70C1">
            <w:pPr>
              <w:rPr>
                <w:b/>
              </w:rPr>
            </w:pPr>
            <w:r w:rsidRPr="00F02521">
              <w:rPr>
                <w:b/>
              </w:rPr>
              <w:t>Dr. A. Mayet</w:t>
            </w:r>
          </w:p>
          <w:p w:rsidR="00F02521" w:rsidRPr="00F02521" w:rsidRDefault="00F02521" w:rsidP="002A70C1">
            <w:pPr>
              <w:rPr>
                <w:b/>
              </w:rPr>
            </w:pPr>
            <w:r w:rsidRPr="00F02521">
              <w:rPr>
                <w:b/>
              </w:rPr>
              <w:t>Dr. P. Afsar</w:t>
            </w:r>
          </w:p>
          <w:p w:rsidR="00F02521" w:rsidRDefault="00F02521" w:rsidP="002A70C1">
            <w:r w:rsidRPr="00F02521">
              <w:rPr>
                <w:b/>
              </w:rPr>
              <w:t>Dr. N. Skaria</w:t>
            </w:r>
          </w:p>
        </w:tc>
      </w:tr>
    </w:tbl>
    <w:tbl>
      <w:tblPr>
        <w:tblStyle w:val="TableGrid"/>
        <w:tblpPr w:leftFromText="180" w:rightFromText="180" w:vertAnchor="text" w:horzAnchor="page" w:tblpX="9418"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2A70C1" w:rsidTr="002A70C1">
        <w:trPr>
          <w:trHeight w:val="911"/>
        </w:trPr>
        <w:tc>
          <w:tcPr>
            <w:tcW w:w="1916" w:type="dxa"/>
          </w:tcPr>
          <w:p w:rsidR="002A70C1" w:rsidRDefault="002A70C1" w:rsidP="002A70C1">
            <w:pPr>
              <w:jc w:val="center"/>
            </w:pPr>
            <w:r>
              <w:rPr>
                <w:noProof/>
                <w:lang w:eastAsia="en-GB"/>
              </w:rPr>
              <w:drawing>
                <wp:inline distT="0" distB="0" distL="0" distR="0" wp14:anchorId="3430D731" wp14:editId="50BC3E41">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tc>
      </w:tr>
    </w:tbl>
    <w:p w:rsidR="00C966E7" w:rsidRDefault="002A70C1" w:rsidP="00C966E7">
      <w:pPr>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78D8E880" wp14:editId="345C7282">
                <wp:simplePos x="0" y="0"/>
                <wp:positionH relativeFrom="column">
                  <wp:posOffset>1581150</wp:posOffset>
                </wp:positionH>
                <wp:positionV relativeFrom="paragraph">
                  <wp:posOffset>302260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23.8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" filled="f" stroked="f">
                <v:textbox style="mso-fit-shape-to-text:t">
                  <w:txbxContent>
                    <w:p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v:textbox>
              </v:shape>
            </w:pict>
          </mc:Fallback>
        </mc:AlternateContent>
      </w:r>
      <w:r w:rsidR="00F02521">
        <w:rPr>
          <w:rFonts w:ascii="Verdana" w:hAnsi="Verdana"/>
          <w:noProof/>
          <w:sz w:val="23"/>
          <w:szCs w:val="23"/>
          <w:lang w:eastAsia="en-GB"/>
        </w:rPr>
        <w:t xml:space="preserve"> </w:t>
      </w:r>
    </w:p>
    <w:tbl>
      <w:tblPr>
        <w:tblStyle w:val="TableGrid"/>
        <w:tblpPr w:leftFromText="180" w:rightFromText="180" w:vertAnchor="text" w:horzAnchor="margin" w:tblpXSpec="center" w:tblpY="8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966E7" w:rsidTr="002A70C1">
        <w:trPr>
          <w:trHeight w:val="1784"/>
        </w:trPr>
        <w:tc>
          <w:tcPr>
            <w:tcW w:w="5121" w:type="dxa"/>
          </w:tcPr>
          <w:p w:rsidR="002A70C1" w:rsidRDefault="002A70C1" w:rsidP="002A70C1">
            <w:pPr>
              <w:jc w:val="center"/>
              <w:rPr>
                <w:b/>
                <w:noProof/>
                <w:lang w:eastAsia="en-GB"/>
              </w:rPr>
            </w:pPr>
          </w:p>
          <w:p w:rsidR="00C966E7" w:rsidRPr="00C966E7" w:rsidRDefault="00C966E7" w:rsidP="002A70C1">
            <w:pPr>
              <w:jc w:val="center"/>
              <w:rPr>
                <w:b/>
                <w:noProof/>
                <w:lang w:eastAsia="en-GB"/>
              </w:rPr>
            </w:pPr>
            <w:r w:rsidRPr="00C966E7">
              <w:rPr>
                <w:b/>
                <w:noProof/>
                <w:lang w:eastAsia="en-GB"/>
              </w:rPr>
              <w:t>125-129 Newland Street, Witham, Essex CM8 1BH</w:t>
            </w:r>
          </w:p>
          <w:p w:rsidR="00C966E7" w:rsidRPr="00C966E7" w:rsidRDefault="00C966E7" w:rsidP="002A70C1">
            <w:pPr>
              <w:jc w:val="center"/>
              <w:rPr>
                <w:b/>
                <w:noProof/>
                <w:lang w:eastAsia="en-GB"/>
              </w:rPr>
            </w:pPr>
            <w:r w:rsidRPr="00C966E7">
              <w:rPr>
                <w:b/>
                <w:noProof/>
                <w:lang w:eastAsia="en-GB"/>
              </w:rPr>
              <w:t>Tel: 01376 502108</w:t>
            </w:r>
          </w:p>
          <w:p w:rsidR="00C966E7" w:rsidRPr="00C966E7" w:rsidRDefault="00C966E7" w:rsidP="002A70C1">
            <w:pPr>
              <w:jc w:val="center"/>
              <w:rPr>
                <w:b/>
                <w:noProof/>
                <w:lang w:eastAsia="en-GB"/>
              </w:rPr>
            </w:pPr>
            <w:r w:rsidRPr="00C966E7">
              <w:rPr>
                <w:b/>
                <w:noProof/>
                <w:lang w:eastAsia="en-GB"/>
              </w:rPr>
              <w:t>Appts: 01376 512935</w:t>
            </w:r>
          </w:p>
          <w:p w:rsidR="00C966E7" w:rsidRPr="00C966E7" w:rsidRDefault="00C966E7" w:rsidP="002A70C1">
            <w:pPr>
              <w:jc w:val="center"/>
              <w:rPr>
                <w:b/>
                <w:noProof/>
                <w:lang w:eastAsia="en-GB"/>
              </w:rPr>
            </w:pPr>
            <w:r w:rsidRPr="00C966E7">
              <w:rPr>
                <w:b/>
                <w:noProof/>
                <w:lang w:eastAsia="en-GB"/>
              </w:rPr>
              <w:t>Fax: 01376 502281</w:t>
            </w:r>
          </w:p>
          <w:p w:rsidR="002A70C1" w:rsidRDefault="002A70C1" w:rsidP="002A70C1">
            <w:pPr>
              <w:jc w:val="center"/>
              <w:rPr>
                <w:b/>
                <w:noProof/>
                <w:lang w:eastAsia="en-GB"/>
              </w:rPr>
            </w:pPr>
          </w:p>
          <w:p w:rsidR="00C966E7" w:rsidRPr="002A70C1" w:rsidRDefault="00A32CC5" w:rsidP="002A70C1">
            <w:pPr>
              <w:jc w:val="center"/>
              <w:rPr>
                <w:b/>
                <w:noProof/>
                <w:lang w:eastAsia="en-GB"/>
              </w:rPr>
            </w:pPr>
            <w:hyperlink r:id="rId7" w:history="1">
              <w:r w:rsidR="002A70C1" w:rsidRPr="002A70C1">
                <w:rPr>
                  <w:rStyle w:val="Hyperlink"/>
                  <w:b/>
                  <w:noProof/>
                  <w:color w:val="auto"/>
                  <w:u w:val="none"/>
                  <w:lang w:eastAsia="en-GB"/>
                </w:rPr>
                <w:t>www.fernhousesurgery.co.uk</w:t>
              </w:r>
            </w:hyperlink>
          </w:p>
          <w:p w:rsidR="002A70C1" w:rsidRDefault="002A70C1" w:rsidP="002A70C1">
            <w:pPr>
              <w:jc w:val="center"/>
            </w:pPr>
          </w:p>
        </w:tc>
      </w:tr>
    </w:tbl>
    <w:p w:rsidR="00C966E7" w:rsidRPr="00C966E7" w:rsidRDefault="00C966E7" w:rsidP="00C966E7">
      <w:pPr>
        <w:spacing w:after="0" w:line="240" w:lineRule="auto"/>
        <w:jc w:val="center"/>
        <w:rPr>
          <w:b/>
          <w:noProof/>
          <w:lang w:eastAsia="en-GB"/>
        </w:rPr>
      </w:pPr>
    </w:p>
    <w:p w:rsidR="00FA2343" w:rsidRDefault="00A32CC5" w:rsidP="00C966E7">
      <w:pPr>
        <w:jc w:val="right"/>
      </w:pPr>
    </w:p>
    <w:p w:rsidR="00C966E7" w:rsidRDefault="00C966E7" w:rsidP="00C966E7">
      <w:pPr>
        <w:jc w:val="right"/>
        <w:rPr>
          <w:noProof/>
          <w:lang w:eastAsia="en-GB"/>
        </w:rPr>
      </w:pPr>
      <w:r>
        <w:rPr>
          <w:noProof/>
          <w:lang w:eastAsia="en-GB"/>
        </w:rPr>
        <w:t xml:space="preserve"> </w:t>
      </w:r>
    </w:p>
    <w:p w:rsidR="002A70C1" w:rsidRDefault="002A70C1" w:rsidP="00C966E7">
      <w:pPr>
        <w:jc w:val="right"/>
      </w:pPr>
    </w:p>
    <w:p w:rsidR="002A70C1" w:rsidRDefault="002A70C1" w:rsidP="002A70C1">
      <w:pPr>
        <w:jc w:val="center"/>
      </w:pPr>
    </w:p>
    <w:p w:rsidR="002A70C1" w:rsidRDefault="002A70C1" w:rsidP="002A70C1">
      <w:pPr>
        <w:jc w:val="center"/>
      </w:pPr>
    </w:p>
    <w:p w:rsidR="002A70C1" w:rsidRDefault="002A70C1" w:rsidP="002A70C1">
      <w:pPr>
        <w:jc w:val="center"/>
      </w:pPr>
      <w:r w:rsidRPr="00E8456C">
        <w:t>__________________________________________________________________________________</w:t>
      </w:r>
    </w:p>
    <w:p w:rsidR="00484EAA" w:rsidRDefault="00484EAA" w:rsidP="00484EAA">
      <w:pPr>
        <w:jc w:val="center"/>
        <w:rPr>
          <w:rFonts w:ascii="Tahoma" w:hAnsi="Tahoma" w:cs="Tahoma"/>
          <w:b/>
          <w:sz w:val="20"/>
          <w:szCs w:val="20"/>
          <w:u w:val="single"/>
        </w:rPr>
      </w:pPr>
      <w:r>
        <w:rPr>
          <w:rFonts w:ascii="Tahoma" w:hAnsi="Tahoma" w:cs="Tahoma"/>
          <w:b/>
          <w:sz w:val="20"/>
          <w:szCs w:val="20"/>
          <w:u w:val="single"/>
        </w:rPr>
        <w:t>PATIENT PARTICIPATION GROUP MEETING</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Date:</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t xml:space="preserve">Monday, </w:t>
      </w:r>
      <w:r>
        <w:rPr>
          <w:rFonts w:ascii="Tahoma" w:hAnsi="Tahoma" w:cs="Tahoma"/>
          <w:b/>
          <w:color w:val="000000" w:themeColor="text1"/>
          <w:sz w:val="20"/>
          <w:szCs w:val="20"/>
        </w:rPr>
        <w:t>7</w:t>
      </w:r>
      <w:r w:rsidRPr="00646BC2">
        <w:rPr>
          <w:rFonts w:ascii="Tahoma" w:hAnsi="Tahoma" w:cs="Tahoma"/>
          <w:b/>
          <w:color w:val="000000" w:themeColor="text1"/>
          <w:sz w:val="20"/>
          <w:szCs w:val="20"/>
          <w:vertAlign w:val="superscript"/>
        </w:rPr>
        <w:t>th</w:t>
      </w:r>
      <w:r>
        <w:rPr>
          <w:rFonts w:ascii="Tahoma" w:hAnsi="Tahoma" w:cs="Tahoma"/>
          <w:b/>
          <w:color w:val="000000" w:themeColor="text1"/>
          <w:sz w:val="20"/>
          <w:szCs w:val="20"/>
        </w:rPr>
        <w:t xml:space="preserve"> July 2014</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Time:</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Pr>
          <w:rFonts w:ascii="Tahoma" w:hAnsi="Tahoma" w:cs="Tahoma"/>
          <w:b/>
          <w:color w:val="000000" w:themeColor="text1"/>
          <w:sz w:val="20"/>
          <w:szCs w:val="20"/>
        </w:rPr>
        <w:t>6:3</w:t>
      </w:r>
      <w:r w:rsidRPr="002106B0">
        <w:rPr>
          <w:rFonts w:ascii="Tahoma" w:hAnsi="Tahoma" w:cs="Tahoma"/>
          <w:b/>
          <w:color w:val="000000" w:themeColor="text1"/>
          <w:sz w:val="20"/>
          <w:szCs w:val="20"/>
        </w:rPr>
        <w:t>0pm</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Place:</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Pr>
          <w:rFonts w:ascii="Tahoma" w:hAnsi="Tahoma" w:cs="Tahoma"/>
          <w:b/>
          <w:color w:val="000000" w:themeColor="text1"/>
          <w:sz w:val="20"/>
          <w:szCs w:val="20"/>
        </w:rPr>
        <w:t>Fern House Surgery, Down Stairs Waiting Room</w:t>
      </w:r>
    </w:p>
    <w:p w:rsidR="00484EAA" w:rsidRPr="002106B0" w:rsidRDefault="00484EAA" w:rsidP="00484EAA">
      <w:pPr>
        <w:spacing w:after="0" w:line="240" w:lineRule="auto"/>
        <w:rPr>
          <w:rFonts w:ascii="Tahoma" w:hAnsi="Tahoma" w:cs="Tahoma"/>
          <w:b/>
          <w:color w:val="000000" w:themeColor="text1"/>
          <w:sz w:val="20"/>
          <w:szCs w:val="20"/>
        </w:rPr>
      </w:pPr>
    </w:p>
    <w:p w:rsidR="00484EAA" w:rsidRPr="002106B0" w:rsidRDefault="00484EAA" w:rsidP="00484EAA">
      <w:pPr>
        <w:spacing w:after="0" w:line="240" w:lineRule="auto"/>
        <w:rPr>
          <w:rFonts w:ascii="Tahoma" w:hAnsi="Tahoma" w:cs="Tahoma"/>
          <w:b/>
          <w:color w:val="000000" w:themeColor="text1"/>
          <w:sz w:val="20"/>
          <w:szCs w:val="20"/>
          <w:u w:val="single"/>
        </w:rPr>
      </w:pPr>
      <w:r w:rsidRPr="002106B0">
        <w:rPr>
          <w:rFonts w:ascii="Tahoma" w:hAnsi="Tahoma" w:cs="Tahoma"/>
          <w:b/>
          <w:color w:val="000000" w:themeColor="text1"/>
          <w:sz w:val="20"/>
          <w:szCs w:val="20"/>
          <w:u w:val="single"/>
        </w:rPr>
        <w:t>ATTENDANCE</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Dr. D. Beatty</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t>Senior Partner</w:t>
      </w:r>
      <w:r w:rsidRPr="002106B0">
        <w:rPr>
          <w:rFonts w:ascii="Tahoma" w:hAnsi="Tahoma" w:cs="Tahoma"/>
          <w:b/>
          <w:color w:val="000000" w:themeColor="text1"/>
          <w:sz w:val="20"/>
          <w:szCs w:val="20"/>
        </w:rPr>
        <w:tab/>
        <w:t xml:space="preserve"> </w:t>
      </w:r>
      <w:r w:rsidR="0052011D">
        <w:rPr>
          <w:rFonts w:ascii="Tahoma" w:hAnsi="Tahoma" w:cs="Tahoma"/>
          <w:b/>
          <w:color w:val="000000" w:themeColor="text1"/>
          <w:sz w:val="20"/>
          <w:szCs w:val="20"/>
        </w:rPr>
        <w:t>(DB)</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Dr. A. Mayet</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t>GP Partner</w:t>
      </w:r>
      <w:r w:rsidRPr="002106B0">
        <w:rPr>
          <w:rFonts w:ascii="Tahoma" w:hAnsi="Tahoma" w:cs="Tahoma"/>
          <w:b/>
          <w:color w:val="000000" w:themeColor="text1"/>
          <w:sz w:val="20"/>
          <w:szCs w:val="20"/>
        </w:rPr>
        <w:tab/>
      </w:r>
      <w:r w:rsidRPr="002106B0">
        <w:rPr>
          <w:rFonts w:ascii="Tahoma" w:hAnsi="Tahoma" w:cs="Tahoma"/>
          <w:b/>
          <w:color w:val="000000" w:themeColor="text1"/>
          <w:sz w:val="20"/>
          <w:szCs w:val="20"/>
        </w:rPr>
        <w:tab/>
      </w:r>
      <w:r w:rsidR="0052011D">
        <w:rPr>
          <w:rFonts w:ascii="Tahoma" w:hAnsi="Tahoma" w:cs="Tahoma"/>
          <w:b/>
          <w:color w:val="000000" w:themeColor="text1"/>
          <w:sz w:val="20"/>
          <w:szCs w:val="20"/>
        </w:rPr>
        <w:t xml:space="preserve"> (AM)</w:t>
      </w:r>
    </w:p>
    <w:p w:rsidR="00484EAA" w:rsidRDefault="00484EAA" w:rsidP="00484EAA">
      <w:pPr>
        <w:spacing w:after="0" w:line="240" w:lineRule="auto"/>
        <w:rPr>
          <w:rFonts w:ascii="Tahoma" w:hAnsi="Tahoma" w:cs="Tahoma"/>
          <w:b/>
          <w:color w:val="000000" w:themeColor="text1"/>
          <w:sz w:val="20"/>
          <w:szCs w:val="20"/>
        </w:rPr>
      </w:pPr>
      <w:r>
        <w:rPr>
          <w:rFonts w:ascii="Tahoma" w:hAnsi="Tahoma" w:cs="Tahoma"/>
          <w:b/>
          <w:color w:val="000000" w:themeColor="text1"/>
          <w:sz w:val="20"/>
          <w:szCs w:val="20"/>
        </w:rPr>
        <w:t>Lorraine Hendon</w:t>
      </w:r>
      <w:r>
        <w:rPr>
          <w:rFonts w:ascii="Tahoma" w:hAnsi="Tahoma" w:cs="Tahoma"/>
          <w:b/>
          <w:color w:val="000000" w:themeColor="text1"/>
          <w:sz w:val="20"/>
          <w:szCs w:val="20"/>
        </w:rPr>
        <w:tab/>
        <w:t>Practice Manager</w:t>
      </w:r>
      <w:r>
        <w:rPr>
          <w:rFonts w:ascii="Tahoma" w:hAnsi="Tahoma" w:cs="Tahoma"/>
          <w:b/>
          <w:color w:val="000000" w:themeColor="text1"/>
          <w:sz w:val="20"/>
          <w:szCs w:val="20"/>
        </w:rPr>
        <w:tab/>
      </w:r>
      <w:r w:rsidR="0052011D">
        <w:rPr>
          <w:rFonts w:ascii="Tahoma" w:hAnsi="Tahoma" w:cs="Tahoma"/>
          <w:b/>
          <w:color w:val="000000" w:themeColor="text1"/>
          <w:sz w:val="20"/>
          <w:szCs w:val="20"/>
        </w:rPr>
        <w:t xml:space="preserve"> (LH)</w:t>
      </w:r>
    </w:p>
    <w:p w:rsidR="00484EAA" w:rsidRPr="002106B0" w:rsidRDefault="00484EAA" w:rsidP="00484EAA">
      <w:pPr>
        <w:spacing w:after="0" w:line="240" w:lineRule="auto"/>
        <w:rPr>
          <w:rFonts w:ascii="Tahoma" w:hAnsi="Tahoma" w:cs="Tahoma"/>
          <w:b/>
          <w:color w:val="000000" w:themeColor="text1"/>
          <w:sz w:val="20"/>
          <w:szCs w:val="20"/>
        </w:rPr>
      </w:pPr>
      <w:r>
        <w:rPr>
          <w:rFonts w:ascii="Tahoma" w:hAnsi="Tahoma" w:cs="Tahoma"/>
          <w:b/>
          <w:color w:val="000000" w:themeColor="text1"/>
          <w:sz w:val="20"/>
          <w:szCs w:val="20"/>
        </w:rPr>
        <w:t>Tess O’Connor</w:t>
      </w:r>
      <w:r>
        <w:rPr>
          <w:rFonts w:ascii="Tahoma" w:hAnsi="Tahoma" w:cs="Tahoma"/>
          <w:b/>
          <w:color w:val="000000" w:themeColor="text1"/>
          <w:sz w:val="20"/>
          <w:szCs w:val="20"/>
        </w:rPr>
        <w:tab/>
      </w:r>
      <w:r>
        <w:rPr>
          <w:rFonts w:ascii="Tahoma" w:hAnsi="Tahoma" w:cs="Tahoma"/>
          <w:b/>
          <w:color w:val="000000" w:themeColor="text1"/>
          <w:sz w:val="20"/>
          <w:szCs w:val="20"/>
        </w:rPr>
        <w:tab/>
        <w:t>Senior Receptionist</w:t>
      </w:r>
      <w:r w:rsidR="0052011D">
        <w:rPr>
          <w:rFonts w:ascii="Tahoma" w:hAnsi="Tahoma" w:cs="Tahoma"/>
          <w:b/>
          <w:color w:val="000000" w:themeColor="text1"/>
          <w:sz w:val="20"/>
          <w:szCs w:val="20"/>
        </w:rPr>
        <w:t xml:space="preserve">     (TO)</w:t>
      </w:r>
    </w:p>
    <w:p w:rsidR="00484EAA" w:rsidRPr="002106B0" w:rsidRDefault="00484EAA" w:rsidP="00484EAA">
      <w:pPr>
        <w:spacing w:after="0" w:line="240" w:lineRule="auto"/>
        <w:rPr>
          <w:rFonts w:ascii="Tahoma" w:hAnsi="Tahoma" w:cs="Tahoma"/>
          <w:b/>
          <w:color w:val="FF0000"/>
          <w:sz w:val="20"/>
          <w:szCs w:val="20"/>
          <w:u w:val="single"/>
        </w:rPr>
      </w:pPr>
    </w:p>
    <w:p w:rsidR="00484EAA" w:rsidRDefault="00484EAA" w:rsidP="00484EAA">
      <w:pPr>
        <w:spacing w:after="0" w:line="240" w:lineRule="auto"/>
        <w:rPr>
          <w:rFonts w:ascii="Tahoma" w:hAnsi="Tahoma" w:cs="Tahoma"/>
          <w:b/>
          <w:color w:val="000000" w:themeColor="text1"/>
          <w:sz w:val="20"/>
          <w:szCs w:val="20"/>
          <w:u w:val="single"/>
        </w:rPr>
      </w:pPr>
      <w:r>
        <w:rPr>
          <w:rFonts w:ascii="Tahoma" w:hAnsi="Tahoma" w:cs="Tahoma"/>
          <w:b/>
          <w:color w:val="000000" w:themeColor="text1"/>
          <w:sz w:val="20"/>
          <w:szCs w:val="20"/>
          <w:u w:val="single"/>
        </w:rPr>
        <w:t>PPG Acting Lead and Members</w:t>
      </w:r>
    </w:p>
    <w:p w:rsidR="00484EAA" w:rsidRPr="00646BC2" w:rsidRDefault="00484EAA" w:rsidP="00484EAA">
      <w:pPr>
        <w:spacing w:after="0" w:line="240" w:lineRule="auto"/>
        <w:rPr>
          <w:rFonts w:ascii="Tahoma" w:hAnsi="Tahoma" w:cs="Tahoma"/>
          <w:b/>
          <w:color w:val="000000" w:themeColor="text1"/>
          <w:sz w:val="20"/>
          <w:szCs w:val="20"/>
          <w:u w:val="single"/>
        </w:rPr>
      </w:pPr>
      <w:r w:rsidRPr="00646BC2">
        <w:rPr>
          <w:rFonts w:ascii="Tahoma" w:hAnsi="Tahoma" w:cs="Tahoma"/>
          <w:b/>
          <w:sz w:val="20"/>
          <w:szCs w:val="20"/>
        </w:rPr>
        <w:t>Anonymised</w:t>
      </w:r>
    </w:p>
    <w:p w:rsidR="007D625C" w:rsidRDefault="007D625C" w:rsidP="00484EAA">
      <w:pPr>
        <w:spacing w:after="0" w:line="240" w:lineRule="auto"/>
        <w:rPr>
          <w:rFonts w:ascii="Tahoma" w:hAnsi="Tahoma" w:cs="Tahoma"/>
          <w:b/>
          <w:color w:val="000000" w:themeColor="text1"/>
          <w:sz w:val="20"/>
          <w:szCs w:val="20"/>
          <w:u w:val="single"/>
        </w:rPr>
      </w:pPr>
    </w:p>
    <w:p w:rsidR="00484EAA" w:rsidRPr="002106B0" w:rsidRDefault="00484EAA" w:rsidP="00484EAA">
      <w:pPr>
        <w:spacing w:after="0" w:line="240" w:lineRule="auto"/>
        <w:rPr>
          <w:rFonts w:ascii="Tahoma" w:hAnsi="Tahoma" w:cs="Tahoma"/>
          <w:b/>
          <w:color w:val="000000" w:themeColor="text1"/>
          <w:sz w:val="20"/>
          <w:szCs w:val="20"/>
          <w:u w:val="single"/>
        </w:rPr>
      </w:pPr>
      <w:r w:rsidRPr="002106B0">
        <w:rPr>
          <w:rFonts w:ascii="Tahoma" w:hAnsi="Tahoma" w:cs="Tahoma"/>
          <w:b/>
          <w:color w:val="000000" w:themeColor="text1"/>
          <w:sz w:val="20"/>
          <w:szCs w:val="20"/>
          <w:u w:val="single"/>
        </w:rPr>
        <w:t>Note Taker</w:t>
      </w:r>
    </w:p>
    <w:p w:rsidR="00484EAA" w:rsidRPr="002106B0" w:rsidRDefault="00484EAA" w:rsidP="00484EAA">
      <w:pPr>
        <w:spacing w:after="0" w:line="240" w:lineRule="auto"/>
        <w:rPr>
          <w:rFonts w:ascii="Tahoma" w:hAnsi="Tahoma" w:cs="Tahoma"/>
          <w:b/>
          <w:color w:val="000000" w:themeColor="text1"/>
          <w:sz w:val="20"/>
          <w:szCs w:val="20"/>
        </w:rPr>
      </w:pPr>
      <w:r>
        <w:rPr>
          <w:rFonts w:ascii="Tahoma" w:hAnsi="Tahoma" w:cs="Tahoma"/>
          <w:b/>
          <w:color w:val="000000" w:themeColor="text1"/>
          <w:sz w:val="20"/>
          <w:szCs w:val="20"/>
        </w:rPr>
        <w:t>PPG Acting Lead</w:t>
      </w:r>
    </w:p>
    <w:p w:rsidR="00484EAA" w:rsidRPr="002106B0" w:rsidRDefault="00484EAA" w:rsidP="00484EAA">
      <w:pPr>
        <w:spacing w:after="0" w:line="240" w:lineRule="auto"/>
        <w:rPr>
          <w:rFonts w:ascii="Tahoma" w:hAnsi="Tahoma" w:cs="Tahoma"/>
          <w:b/>
          <w:color w:val="000000" w:themeColor="text1"/>
          <w:sz w:val="20"/>
          <w:szCs w:val="20"/>
        </w:rPr>
      </w:pPr>
      <w:r w:rsidRPr="002106B0">
        <w:rPr>
          <w:rFonts w:ascii="Tahoma" w:hAnsi="Tahoma" w:cs="Tahoma"/>
          <w:b/>
          <w:color w:val="000000" w:themeColor="text1"/>
          <w:sz w:val="20"/>
          <w:szCs w:val="20"/>
        </w:rPr>
        <w:t xml:space="preserve">___________________________________________________________________ </w:t>
      </w:r>
    </w:p>
    <w:p w:rsidR="00484EAA" w:rsidRPr="002106B0" w:rsidRDefault="00484EAA" w:rsidP="00484EAA">
      <w:pPr>
        <w:spacing w:after="0" w:line="240" w:lineRule="auto"/>
        <w:rPr>
          <w:rFonts w:ascii="Tahoma" w:hAnsi="Tahoma" w:cs="Tahoma"/>
          <w:b/>
          <w:color w:val="000000" w:themeColor="text1"/>
          <w:sz w:val="20"/>
          <w:szCs w:val="20"/>
        </w:rPr>
      </w:pPr>
    </w:p>
    <w:p w:rsidR="00484EAA" w:rsidRPr="002106B0" w:rsidRDefault="00484EAA" w:rsidP="00484EAA">
      <w:pPr>
        <w:rPr>
          <w:rFonts w:ascii="Tahoma" w:hAnsi="Tahoma" w:cs="Tahoma"/>
          <w:b/>
          <w:sz w:val="20"/>
          <w:szCs w:val="20"/>
        </w:rPr>
      </w:pPr>
      <w:r w:rsidRPr="002106B0">
        <w:rPr>
          <w:rFonts w:ascii="Tahoma" w:hAnsi="Tahoma" w:cs="Tahoma"/>
          <w:b/>
          <w:sz w:val="20"/>
          <w:szCs w:val="20"/>
        </w:rPr>
        <w:t xml:space="preserve">Meeting commenced at </w:t>
      </w:r>
      <w:r>
        <w:rPr>
          <w:rFonts w:ascii="Tahoma" w:hAnsi="Tahoma" w:cs="Tahoma"/>
          <w:b/>
          <w:sz w:val="20"/>
          <w:szCs w:val="20"/>
        </w:rPr>
        <w:t>6:48pm</w:t>
      </w:r>
    </w:p>
    <w:tbl>
      <w:tblPr>
        <w:tblStyle w:val="TableGrid"/>
        <w:tblW w:w="10314" w:type="dxa"/>
        <w:tblLayout w:type="fixed"/>
        <w:tblLook w:val="04A0" w:firstRow="1" w:lastRow="0" w:firstColumn="1" w:lastColumn="0" w:noHBand="0" w:noVBand="1"/>
      </w:tblPr>
      <w:tblGrid>
        <w:gridCol w:w="959"/>
        <w:gridCol w:w="6804"/>
        <w:gridCol w:w="2551"/>
      </w:tblGrid>
      <w:tr w:rsidR="0052011D" w:rsidTr="0052011D">
        <w:tc>
          <w:tcPr>
            <w:tcW w:w="959" w:type="dxa"/>
            <w:tcBorders>
              <w:top w:val="single" w:sz="4" w:space="0" w:color="auto"/>
              <w:left w:val="single" w:sz="4" w:space="0" w:color="auto"/>
              <w:bottom w:val="single" w:sz="4" w:space="0" w:color="auto"/>
              <w:right w:val="single" w:sz="4" w:space="0" w:color="auto"/>
            </w:tcBorders>
          </w:tcPr>
          <w:p w:rsidR="0052011D" w:rsidRDefault="0052011D" w:rsidP="00A32CC5">
            <w:pPr>
              <w:jc w:val="center"/>
              <w:outlineLvl w:val="0"/>
              <w:rPr>
                <w:rFonts w:cstheme="minorHAnsi"/>
                <w:b/>
              </w:rPr>
            </w:pPr>
            <w:r w:rsidRPr="00AF1E15">
              <w:rPr>
                <w:rFonts w:cstheme="minorHAnsi"/>
                <w:b/>
              </w:rPr>
              <w:t>Item No</w:t>
            </w:r>
          </w:p>
          <w:p w:rsidR="007D625C" w:rsidRPr="00AF1E15" w:rsidRDefault="007D625C" w:rsidP="00A32CC5">
            <w:pPr>
              <w:jc w:val="center"/>
              <w:outlineLvl w:val="0"/>
              <w:rPr>
                <w:rFonts w:cstheme="minorHAnsi"/>
                <w:b/>
              </w:rPr>
            </w:pPr>
          </w:p>
        </w:tc>
        <w:tc>
          <w:tcPr>
            <w:tcW w:w="6804" w:type="dxa"/>
            <w:tcBorders>
              <w:top w:val="single" w:sz="4" w:space="0" w:color="auto"/>
              <w:left w:val="single" w:sz="4" w:space="0" w:color="auto"/>
              <w:bottom w:val="single" w:sz="4" w:space="0" w:color="auto"/>
              <w:right w:val="single" w:sz="4" w:space="0" w:color="auto"/>
            </w:tcBorders>
          </w:tcPr>
          <w:p w:rsidR="0052011D" w:rsidRPr="00AF1E15" w:rsidRDefault="0052011D" w:rsidP="00A32CC5">
            <w:pPr>
              <w:jc w:val="center"/>
              <w:outlineLvl w:val="0"/>
              <w:rPr>
                <w:rFonts w:cstheme="minorHAnsi"/>
                <w:b/>
              </w:rPr>
            </w:pPr>
            <w:r w:rsidRPr="00AF1E15">
              <w:rPr>
                <w:rFonts w:cstheme="minorHAnsi"/>
                <w:b/>
              </w:rPr>
              <w:t>Subject</w:t>
            </w:r>
          </w:p>
        </w:tc>
        <w:tc>
          <w:tcPr>
            <w:tcW w:w="2551" w:type="dxa"/>
            <w:tcBorders>
              <w:top w:val="single" w:sz="4" w:space="0" w:color="auto"/>
              <w:left w:val="single" w:sz="4" w:space="0" w:color="auto"/>
              <w:bottom w:val="single" w:sz="4" w:space="0" w:color="auto"/>
              <w:right w:val="single" w:sz="4" w:space="0" w:color="auto"/>
            </w:tcBorders>
          </w:tcPr>
          <w:p w:rsidR="0052011D" w:rsidRPr="00AF1E15" w:rsidRDefault="0052011D" w:rsidP="00A32CC5">
            <w:pPr>
              <w:jc w:val="center"/>
              <w:outlineLvl w:val="0"/>
              <w:rPr>
                <w:rFonts w:cstheme="minorHAnsi"/>
                <w:b/>
              </w:rPr>
            </w:pPr>
            <w:r w:rsidRPr="00AF1E15">
              <w:rPr>
                <w:rFonts w:cstheme="minorHAnsi"/>
                <w:b/>
              </w:rPr>
              <w:t>Action Lead</w:t>
            </w:r>
          </w:p>
        </w:tc>
      </w:tr>
      <w:tr w:rsidR="0052011D" w:rsidTr="0052011D">
        <w:tc>
          <w:tcPr>
            <w:tcW w:w="959" w:type="dxa"/>
            <w:tcBorders>
              <w:top w:val="single" w:sz="4" w:space="0" w:color="auto"/>
              <w:left w:val="single" w:sz="4" w:space="0" w:color="auto"/>
              <w:bottom w:val="single" w:sz="4" w:space="0" w:color="auto"/>
              <w:right w:val="single" w:sz="4" w:space="0" w:color="auto"/>
            </w:tcBorders>
          </w:tcPr>
          <w:p w:rsidR="007D625C" w:rsidRDefault="007D625C" w:rsidP="006A4460">
            <w:pPr>
              <w:outlineLvl w:val="0"/>
              <w:rPr>
                <w:rFonts w:cstheme="minorHAnsi"/>
              </w:rPr>
            </w:pPr>
          </w:p>
          <w:p w:rsidR="0052011D" w:rsidRPr="00AF1E15" w:rsidRDefault="0052011D" w:rsidP="006A4460">
            <w:pPr>
              <w:outlineLvl w:val="0"/>
              <w:rPr>
                <w:rFonts w:cstheme="minorHAnsi"/>
              </w:rPr>
            </w:pPr>
            <w:r w:rsidRPr="00AF1E15">
              <w:rPr>
                <w:rFonts w:cstheme="minorHAnsi"/>
              </w:rPr>
              <w:t>1</w:t>
            </w:r>
          </w:p>
        </w:tc>
        <w:tc>
          <w:tcPr>
            <w:tcW w:w="6804" w:type="dxa"/>
            <w:tcBorders>
              <w:top w:val="single" w:sz="4" w:space="0" w:color="auto"/>
              <w:left w:val="single" w:sz="4" w:space="0" w:color="auto"/>
              <w:bottom w:val="single" w:sz="4" w:space="0" w:color="auto"/>
              <w:right w:val="single" w:sz="4" w:space="0" w:color="auto"/>
            </w:tcBorders>
          </w:tcPr>
          <w:p w:rsidR="007D625C" w:rsidRDefault="007D625C" w:rsidP="006A4460">
            <w:pPr>
              <w:outlineLvl w:val="0"/>
              <w:rPr>
                <w:rFonts w:cstheme="minorHAnsi"/>
                <w:b/>
              </w:rPr>
            </w:pPr>
          </w:p>
          <w:p w:rsidR="0052011D" w:rsidRPr="00AF1E15" w:rsidRDefault="0052011D" w:rsidP="006A4460">
            <w:pPr>
              <w:outlineLvl w:val="0"/>
              <w:rPr>
                <w:rFonts w:cstheme="minorHAnsi"/>
                <w:b/>
              </w:rPr>
            </w:pPr>
            <w:r w:rsidRPr="00AF1E15">
              <w:rPr>
                <w:rFonts w:cstheme="minorHAnsi"/>
                <w:b/>
              </w:rPr>
              <w:t>Welcome and Introductions</w:t>
            </w:r>
          </w:p>
          <w:p w:rsidR="0052011D" w:rsidRPr="00AF1E15" w:rsidRDefault="0052011D" w:rsidP="006A4460">
            <w:pPr>
              <w:outlineLvl w:val="0"/>
              <w:rPr>
                <w:rFonts w:cstheme="minorHAnsi"/>
              </w:rPr>
            </w:pPr>
            <w:r>
              <w:rPr>
                <w:rFonts w:cstheme="minorHAnsi"/>
              </w:rPr>
              <w:t xml:space="preserve">LH </w:t>
            </w:r>
            <w:r w:rsidRPr="00AF1E15">
              <w:rPr>
                <w:rFonts w:cstheme="minorHAnsi"/>
              </w:rPr>
              <w:t xml:space="preserve">welcomed everyone and introductions were made around the </w:t>
            </w:r>
            <w:r>
              <w:rPr>
                <w:rFonts w:cstheme="minorHAnsi"/>
              </w:rPr>
              <w:t>room</w:t>
            </w:r>
            <w:r w:rsidRPr="00AF1E15">
              <w:rPr>
                <w:rFonts w:cstheme="minorHAnsi"/>
              </w:rPr>
              <w:t xml:space="preserve">.  </w:t>
            </w:r>
          </w:p>
          <w:p w:rsidR="0052011D" w:rsidRPr="00AF1E15" w:rsidRDefault="0052011D" w:rsidP="006A4460">
            <w:pPr>
              <w:outlineLvl w:val="0"/>
              <w:rPr>
                <w:rFonts w:cstheme="minorHAnsi"/>
                <w:color w:val="FF0000"/>
              </w:rPr>
            </w:pPr>
            <w:r>
              <w:rPr>
                <w:rFonts w:cstheme="min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7D625C" w:rsidRDefault="007D625C" w:rsidP="006A4460">
            <w:pPr>
              <w:jc w:val="both"/>
              <w:rPr>
                <w:b/>
              </w:rPr>
            </w:pPr>
          </w:p>
          <w:p w:rsidR="0052011D" w:rsidRDefault="0052011D" w:rsidP="006A4460">
            <w:pPr>
              <w:jc w:val="both"/>
              <w:rPr>
                <w:b/>
              </w:rPr>
            </w:pPr>
            <w:r>
              <w:rPr>
                <w:b/>
              </w:rPr>
              <w:t>Actions</w:t>
            </w:r>
          </w:p>
          <w:p w:rsidR="0052011D" w:rsidRPr="00F215F7" w:rsidRDefault="0052011D" w:rsidP="006A4460">
            <w:pPr>
              <w:jc w:val="both"/>
            </w:pPr>
            <w:r w:rsidRPr="00F215F7">
              <w:t xml:space="preserve">All PPG members present </w:t>
            </w:r>
            <w:r>
              <w:t xml:space="preserve">recorded </w:t>
            </w:r>
            <w:r w:rsidRPr="00F215F7">
              <w:t>email addresses</w:t>
            </w:r>
            <w:r>
              <w:t xml:space="preserve"> on attendance sheet</w:t>
            </w:r>
          </w:p>
        </w:tc>
      </w:tr>
      <w:tr w:rsidR="0052011D" w:rsidTr="0052011D">
        <w:trPr>
          <w:trHeight w:val="4436"/>
        </w:trPr>
        <w:tc>
          <w:tcPr>
            <w:tcW w:w="959" w:type="dxa"/>
            <w:tcBorders>
              <w:top w:val="single" w:sz="4" w:space="0" w:color="auto"/>
              <w:left w:val="single" w:sz="4" w:space="0" w:color="auto"/>
              <w:bottom w:val="single" w:sz="4" w:space="0" w:color="auto"/>
              <w:right w:val="single" w:sz="4" w:space="0" w:color="auto"/>
            </w:tcBorders>
          </w:tcPr>
          <w:p w:rsidR="0052011D" w:rsidRDefault="0052011D" w:rsidP="006A4460">
            <w:r>
              <w:t>2</w:t>
            </w:r>
          </w:p>
          <w:p w:rsidR="0052011D" w:rsidRDefault="0052011D" w:rsidP="006A4460"/>
          <w:p w:rsidR="0052011D" w:rsidRDefault="0052011D" w:rsidP="006A4460"/>
          <w:p w:rsidR="0052011D" w:rsidRDefault="0052011D" w:rsidP="006A4460"/>
          <w:p w:rsidR="0052011D" w:rsidRDefault="0052011D" w:rsidP="006A4460"/>
        </w:tc>
        <w:tc>
          <w:tcPr>
            <w:tcW w:w="6804" w:type="dxa"/>
            <w:tcBorders>
              <w:top w:val="single" w:sz="4" w:space="0" w:color="auto"/>
              <w:left w:val="single" w:sz="4" w:space="0" w:color="auto"/>
              <w:bottom w:val="single" w:sz="4" w:space="0" w:color="auto"/>
              <w:right w:val="single" w:sz="4" w:space="0" w:color="auto"/>
            </w:tcBorders>
            <w:hideMark/>
          </w:tcPr>
          <w:p w:rsidR="0052011D" w:rsidRPr="0052011D" w:rsidRDefault="0052011D" w:rsidP="006A4460">
            <w:pPr>
              <w:jc w:val="both"/>
              <w:rPr>
                <w:b/>
              </w:rPr>
            </w:pPr>
            <w:r>
              <w:rPr>
                <w:b/>
              </w:rPr>
              <w:t>Update from March M</w:t>
            </w:r>
            <w:r w:rsidRPr="0052011D">
              <w:rPr>
                <w:b/>
              </w:rPr>
              <w:t>eeting</w:t>
            </w:r>
          </w:p>
          <w:p w:rsidR="0052011D" w:rsidRDefault="0052011D" w:rsidP="006A4460">
            <w:pPr>
              <w:jc w:val="both"/>
            </w:pPr>
          </w:p>
          <w:p w:rsidR="0052011D" w:rsidRDefault="0052011D" w:rsidP="006A4460">
            <w:pPr>
              <w:jc w:val="both"/>
            </w:pPr>
            <w:r>
              <w:t>The Patient survey had indicated that three areas were of concern to patients: the appointments system, car parking and extended hours. A new clinical system is due to commence in November 2014. This will enable a proportion of available appointments to be accessed online. A telephone option is included in the new system. A new check in desk system will ensure fewer queues to report in.</w:t>
            </w:r>
          </w:p>
          <w:p w:rsidR="0052011D" w:rsidRDefault="0052011D" w:rsidP="006A4460"/>
          <w:p w:rsidR="0052011D" w:rsidRDefault="0052011D" w:rsidP="006A4460">
            <w:pPr>
              <w:jc w:val="both"/>
            </w:pPr>
            <w:r w:rsidRPr="00B62E5E">
              <w:t>A parking space can be re-allocated for use by a parent attending with children.</w:t>
            </w:r>
          </w:p>
          <w:p w:rsidR="0052011D" w:rsidRDefault="0052011D" w:rsidP="006A4460">
            <w:pPr>
              <w:jc w:val="both"/>
            </w:pPr>
          </w:p>
          <w:p w:rsidR="0052011D" w:rsidRDefault="0052011D" w:rsidP="006A4460">
            <w:pPr>
              <w:jc w:val="both"/>
            </w:pPr>
            <w:r>
              <w:t xml:space="preserve">When attending the Patient Reference Group Marian had reported concerns regarding increasing population demands. This was a widespread experience across CCG and is one of the concerns within the 5 year plan. </w:t>
            </w:r>
          </w:p>
        </w:tc>
        <w:tc>
          <w:tcPr>
            <w:tcW w:w="2551" w:type="dxa"/>
            <w:tcBorders>
              <w:top w:val="single" w:sz="4" w:space="0" w:color="auto"/>
              <w:left w:val="single" w:sz="4" w:space="0" w:color="auto"/>
              <w:bottom w:val="single" w:sz="4" w:space="0" w:color="auto"/>
              <w:right w:val="single" w:sz="4" w:space="0" w:color="auto"/>
            </w:tcBorders>
            <w:hideMark/>
          </w:tcPr>
          <w:p w:rsidR="00C17731" w:rsidRDefault="00C17731" w:rsidP="006A4460"/>
          <w:p w:rsidR="00C17731" w:rsidRDefault="00C17731" w:rsidP="006A4460"/>
          <w:p w:rsidR="0052011D" w:rsidRDefault="0052011D" w:rsidP="006A4460">
            <w:r>
              <w:t xml:space="preserve">How will patients with hearing difficulties use the telephone option within the system? </w:t>
            </w:r>
            <w:r w:rsidRPr="004F6614">
              <w:rPr>
                <w:b/>
              </w:rPr>
              <w:t>LH</w:t>
            </w:r>
          </w:p>
          <w:p w:rsidR="00C17731" w:rsidRDefault="00C17731" w:rsidP="006A4460"/>
          <w:p w:rsidR="0052011D" w:rsidRDefault="0052011D" w:rsidP="006A4460">
            <w:r>
              <w:t xml:space="preserve">How will patients without internet access be supported? </w:t>
            </w:r>
            <w:r w:rsidRPr="004F6614">
              <w:rPr>
                <w:b/>
              </w:rPr>
              <w:t>LH</w:t>
            </w:r>
          </w:p>
          <w:p w:rsidR="00C17731" w:rsidRDefault="00C17731" w:rsidP="006A4460"/>
          <w:p w:rsidR="0052011D" w:rsidRDefault="0052011D" w:rsidP="006A4460">
            <w:r>
              <w:t xml:space="preserve">Are there other scenarios that will emerge with the new system? </w:t>
            </w:r>
            <w:r w:rsidRPr="00B62E5E">
              <w:rPr>
                <w:b/>
              </w:rPr>
              <w:t>LH</w:t>
            </w:r>
          </w:p>
          <w:p w:rsidR="0052011D" w:rsidRDefault="0052011D" w:rsidP="006A4460"/>
          <w:p w:rsidR="0052011D" w:rsidRDefault="0052011D" w:rsidP="006A4460"/>
        </w:tc>
      </w:tr>
      <w:tr w:rsidR="0052011D" w:rsidTr="0052011D">
        <w:tc>
          <w:tcPr>
            <w:tcW w:w="959" w:type="dxa"/>
            <w:tcBorders>
              <w:top w:val="single" w:sz="4" w:space="0" w:color="auto"/>
              <w:left w:val="single" w:sz="4" w:space="0" w:color="auto"/>
              <w:bottom w:val="single" w:sz="4" w:space="0" w:color="auto"/>
              <w:right w:val="single" w:sz="4" w:space="0" w:color="auto"/>
            </w:tcBorders>
          </w:tcPr>
          <w:p w:rsidR="0052011D" w:rsidRDefault="0052011D" w:rsidP="006A4460">
            <w:r>
              <w:lastRenderedPageBreak/>
              <w:t>3</w:t>
            </w:r>
          </w:p>
          <w:p w:rsidR="0052011D" w:rsidRDefault="0052011D" w:rsidP="006A4460"/>
          <w:p w:rsidR="0052011D" w:rsidRDefault="0052011D" w:rsidP="006A4460"/>
          <w:p w:rsidR="0052011D" w:rsidRDefault="0052011D" w:rsidP="006A4460"/>
        </w:tc>
        <w:tc>
          <w:tcPr>
            <w:tcW w:w="6804" w:type="dxa"/>
            <w:tcBorders>
              <w:top w:val="single" w:sz="4" w:space="0" w:color="auto"/>
              <w:left w:val="single" w:sz="4" w:space="0" w:color="auto"/>
              <w:bottom w:val="single" w:sz="4" w:space="0" w:color="auto"/>
              <w:right w:val="single" w:sz="4" w:space="0" w:color="auto"/>
            </w:tcBorders>
            <w:hideMark/>
          </w:tcPr>
          <w:p w:rsidR="0052011D" w:rsidRPr="0052011D" w:rsidRDefault="0052011D" w:rsidP="0052011D">
            <w:pPr>
              <w:rPr>
                <w:b/>
              </w:rPr>
            </w:pPr>
            <w:r w:rsidRPr="0052011D">
              <w:rPr>
                <w:b/>
              </w:rPr>
              <w:t>Practic</w:t>
            </w:r>
            <w:r>
              <w:rPr>
                <w:b/>
              </w:rPr>
              <w:t>e D</w:t>
            </w:r>
            <w:r w:rsidRPr="0052011D">
              <w:rPr>
                <w:b/>
              </w:rPr>
              <w:t xml:space="preserve">evelopments </w:t>
            </w:r>
          </w:p>
          <w:p w:rsidR="0052011D" w:rsidRDefault="0052011D" w:rsidP="006A4460">
            <w:pPr>
              <w:jc w:val="both"/>
            </w:pPr>
          </w:p>
          <w:p w:rsidR="0052011D" w:rsidRDefault="0052011D" w:rsidP="006A4460">
            <w:pPr>
              <w:jc w:val="both"/>
            </w:pPr>
            <w:r>
              <w:t xml:space="preserve">Dr Mayet is a board member of the CCG and outlined aims and budgetary issues. Fern House performance against CCG targets is very good. </w:t>
            </w:r>
          </w:p>
          <w:p w:rsidR="0052011D" w:rsidRDefault="0052011D" w:rsidP="006A4460">
            <w:pPr>
              <w:jc w:val="both"/>
            </w:pPr>
          </w:p>
          <w:p w:rsidR="0052011D" w:rsidRDefault="0052011D" w:rsidP="006A4460">
            <w:pPr>
              <w:jc w:val="both"/>
            </w:pPr>
            <w:r>
              <w:t xml:space="preserve">Lorraine outlined the test replacing the patient survey. The government has ruled that the ‘Friends and Family Test </w:t>
            </w:r>
            <w:proofErr w:type="gramStart"/>
            <w:r>
              <w:t>‘ will</w:t>
            </w:r>
            <w:proofErr w:type="gramEnd"/>
            <w:r>
              <w:t xml:space="preserve"> be used. This is likely to be issued in December.</w:t>
            </w:r>
          </w:p>
          <w:p w:rsidR="00C17731" w:rsidRDefault="00C17731" w:rsidP="006A4460">
            <w:pPr>
              <w:jc w:val="both"/>
            </w:pPr>
          </w:p>
        </w:tc>
        <w:tc>
          <w:tcPr>
            <w:tcW w:w="2551" w:type="dxa"/>
            <w:tcBorders>
              <w:top w:val="single" w:sz="4" w:space="0" w:color="auto"/>
              <w:left w:val="single" w:sz="4" w:space="0" w:color="auto"/>
              <w:bottom w:val="single" w:sz="4" w:space="0" w:color="auto"/>
              <w:right w:val="single" w:sz="4" w:space="0" w:color="auto"/>
            </w:tcBorders>
            <w:hideMark/>
          </w:tcPr>
          <w:p w:rsidR="0052011D" w:rsidRDefault="0052011D" w:rsidP="006A4460"/>
        </w:tc>
      </w:tr>
      <w:tr w:rsidR="0052011D" w:rsidTr="0052011D">
        <w:trPr>
          <w:trHeight w:val="3036"/>
        </w:trPr>
        <w:tc>
          <w:tcPr>
            <w:tcW w:w="959" w:type="dxa"/>
            <w:tcBorders>
              <w:top w:val="single" w:sz="4" w:space="0" w:color="auto"/>
              <w:left w:val="single" w:sz="4" w:space="0" w:color="auto"/>
              <w:bottom w:val="single" w:sz="4" w:space="0" w:color="auto"/>
              <w:right w:val="single" w:sz="4" w:space="0" w:color="auto"/>
            </w:tcBorders>
          </w:tcPr>
          <w:p w:rsidR="0052011D" w:rsidRDefault="00C17731" w:rsidP="006A4460">
            <w:r>
              <w:t>4</w:t>
            </w:r>
          </w:p>
          <w:p w:rsidR="0052011D" w:rsidRDefault="0052011D" w:rsidP="006A4460"/>
          <w:p w:rsidR="0052011D" w:rsidRDefault="0052011D" w:rsidP="006A4460"/>
          <w:p w:rsidR="0052011D" w:rsidRDefault="0052011D" w:rsidP="006A4460"/>
          <w:p w:rsidR="0052011D" w:rsidRDefault="0052011D" w:rsidP="006A4460"/>
          <w:p w:rsidR="0052011D" w:rsidRDefault="0052011D" w:rsidP="006A4460"/>
        </w:tc>
        <w:tc>
          <w:tcPr>
            <w:tcW w:w="6804" w:type="dxa"/>
            <w:tcBorders>
              <w:top w:val="single" w:sz="4" w:space="0" w:color="auto"/>
              <w:left w:val="single" w:sz="4" w:space="0" w:color="auto"/>
              <w:bottom w:val="single" w:sz="4" w:space="0" w:color="auto"/>
              <w:right w:val="single" w:sz="4" w:space="0" w:color="auto"/>
            </w:tcBorders>
            <w:hideMark/>
          </w:tcPr>
          <w:p w:rsidR="00C17731" w:rsidRPr="00C17731" w:rsidRDefault="00C17731" w:rsidP="00C17731">
            <w:pPr>
              <w:rPr>
                <w:b/>
              </w:rPr>
            </w:pPr>
            <w:r w:rsidRPr="00C17731">
              <w:rPr>
                <w:b/>
              </w:rPr>
              <w:t>Member I</w:t>
            </w:r>
            <w:r w:rsidRPr="00C17731">
              <w:rPr>
                <w:b/>
              </w:rPr>
              <w:t>ssues</w:t>
            </w:r>
          </w:p>
          <w:p w:rsidR="0052011D" w:rsidRDefault="0052011D" w:rsidP="006A4460">
            <w:pPr>
              <w:jc w:val="both"/>
            </w:pPr>
          </w:p>
          <w:p w:rsidR="0052011D" w:rsidRDefault="0052011D" w:rsidP="006A4460">
            <w:pPr>
              <w:jc w:val="both"/>
            </w:pPr>
            <w:r w:rsidRPr="00B62E5E">
              <w:t xml:space="preserve">Non-attendance at appointments continues to be a problem. </w:t>
            </w:r>
            <w:r>
              <w:t xml:space="preserve"> </w:t>
            </w:r>
            <w:r w:rsidRPr="00B62E5E">
              <w:t xml:space="preserve">PPG members suggested that the current poster detailing this could be presented as a positive rather than a negative. </w:t>
            </w:r>
            <w:r>
              <w:t>This would offer the opportunity to educate patients regarding the total number of appointments GPs provide.</w:t>
            </w:r>
          </w:p>
          <w:p w:rsidR="0052011D" w:rsidRDefault="0052011D" w:rsidP="006A4460">
            <w:pPr>
              <w:jc w:val="both"/>
            </w:pPr>
          </w:p>
          <w:p w:rsidR="0052011D" w:rsidRDefault="0052011D" w:rsidP="006A4460">
            <w:pPr>
              <w:jc w:val="both"/>
            </w:pPr>
            <w:r>
              <w:t xml:space="preserve">Other ideas included </w:t>
            </w:r>
            <w:r w:rsidRPr="00B62E5E">
              <w:t>improving</w:t>
            </w:r>
            <w:r>
              <w:t xml:space="preserve"> the answer phone message so that cancelling appointments would be easier and developing a system of escalating contacts (friendly call to formal letter) with those who do not attend.</w:t>
            </w:r>
          </w:p>
          <w:p w:rsidR="00C17731" w:rsidRDefault="00C17731" w:rsidP="006A4460">
            <w:pPr>
              <w:jc w:val="both"/>
            </w:pPr>
          </w:p>
          <w:p w:rsidR="0052011D" w:rsidRDefault="0052011D" w:rsidP="006A4460">
            <w:pPr>
              <w:jc w:val="both"/>
            </w:pPr>
            <w:r>
              <w:t>Patients often do not know the best times or methods of contacting the surgery. Although information can be included on the website or in a practice information booklet it may be that additional methods of communicating key messages should be tried. For example results are best obtained in the afternoons.</w:t>
            </w:r>
          </w:p>
          <w:p w:rsidR="00A32CC5" w:rsidRDefault="00A32CC5" w:rsidP="006A4460">
            <w:pPr>
              <w:jc w:val="both"/>
            </w:pPr>
          </w:p>
          <w:p w:rsidR="0052011D" w:rsidRDefault="0052011D" w:rsidP="006A4460">
            <w:pPr>
              <w:jc w:val="both"/>
            </w:pPr>
            <w:r>
              <w:t>The ability to limit addition of new patients to the Fern House books was again discussed.</w:t>
            </w:r>
          </w:p>
          <w:p w:rsidR="00C17731" w:rsidRDefault="00C17731" w:rsidP="006A4460">
            <w:pPr>
              <w:jc w:val="both"/>
            </w:pPr>
          </w:p>
          <w:p w:rsidR="0052011D" w:rsidRPr="00B62E5E" w:rsidRDefault="0052011D" w:rsidP="006A4460">
            <w:pPr>
              <w:jc w:val="both"/>
            </w:pPr>
            <w:r>
              <w:t>Named GP care for over 75s was discussed. Although Dr Skaria takes the lead as per government policy this does not mean that this group cannot see their normal GP! It was noted that the good practice required for care of this group was well established within the Fern House team.</w:t>
            </w:r>
          </w:p>
          <w:p w:rsidR="0052011D" w:rsidRDefault="0052011D" w:rsidP="006A4460">
            <w:pPr>
              <w:jc w:val="both"/>
            </w:pPr>
            <w: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52011D" w:rsidRDefault="0052011D" w:rsidP="006A4460">
            <w:r>
              <w:t>Tess and admin team</w:t>
            </w:r>
          </w:p>
        </w:tc>
      </w:tr>
      <w:tr w:rsidR="0052011D" w:rsidTr="0052011D">
        <w:tc>
          <w:tcPr>
            <w:tcW w:w="959" w:type="dxa"/>
            <w:tcBorders>
              <w:top w:val="single" w:sz="4" w:space="0" w:color="auto"/>
              <w:left w:val="single" w:sz="4" w:space="0" w:color="auto"/>
              <w:bottom w:val="single" w:sz="4" w:space="0" w:color="auto"/>
              <w:right w:val="single" w:sz="4" w:space="0" w:color="auto"/>
            </w:tcBorders>
          </w:tcPr>
          <w:p w:rsidR="00C17731" w:rsidRDefault="00C17731" w:rsidP="006A4460">
            <w:r>
              <w:t>5</w:t>
            </w:r>
          </w:p>
          <w:p w:rsidR="0052011D" w:rsidRDefault="0052011D" w:rsidP="006A4460"/>
          <w:p w:rsidR="0052011D" w:rsidRDefault="0052011D" w:rsidP="006A4460"/>
          <w:p w:rsidR="0052011D" w:rsidRDefault="0052011D" w:rsidP="006A4460"/>
        </w:tc>
        <w:tc>
          <w:tcPr>
            <w:tcW w:w="6804" w:type="dxa"/>
            <w:tcBorders>
              <w:top w:val="single" w:sz="4" w:space="0" w:color="auto"/>
              <w:left w:val="single" w:sz="4" w:space="0" w:color="auto"/>
              <w:bottom w:val="single" w:sz="4" w:space="0" w:color="auto"/>
              <w:right w:val="single" w:sz="4" w:space="0" w:color="auto"/>
            </w:tcBorders>
            <w:hideMark/>
          </w:tcPr>
          <w:p w:rsidR="00C17731" w:rsidRPr="00C17731" w:rsidRDefault="00C17731" w:rsidP="00C17731">
            <w:pPr>
              <w:rPr>
                <w:b/>
              </w:rPr>
            </w:pPr>
            <w:r w:rsidRPr="00C17731">
              <w:rPr>
                <w:b/>
              </w:rPr>
              <w:t>CCG patient reference group</w:t>
            </w:r>
            <w:r w:rsidRPr="00C17731">
              <w:rPr>
                <w:b/>
              </w:rPr>
              <w:t xml:space="preserve"> </w:t>
            </w:r>
            <w:r>
              <w:rPr>
                <w:b/>
              </w:rPr>
              <w:t>Public M</w:t>
            </w:r>
            <w:r w:rsidRPr="00C17731">
              <w:rPr>
                <w:b/>
              </w:rPr>
              <w:t>eetings</w:t>
            </w:r>
            <w:r w:rsidRPr="00C17731">
              <w:rPr>
                <w:b/>
              </w:rPr>
              <w:t xml:space="preserve"> </w:t>
            </w:r>
            <w:r w:rsidRPr="00C17731">
              <w:rPr>
                <w:b/>
              </w:rPr>
              <w:t>Consultations</w:t>
            </w:r>
          </w:p>
          <w:p w:rsidR="00C17731" w:rsidRDefault="00C17731" w:rsidP="00C17731">
            <w:pPr>
              <w:rPr>
                <w:b/>
              </w:rPr>
            </w:pPr>
            <w:r w:rsidRPr="00C17731">
              <w:rPr>
                <w:b/>
              </w:rPr>
              <w:t>Keeping I</w:t>
            </w:r>
            <w:r w:rsidRPr="00C17731">
              <w:rPr>
                <w:b/>
              </w:rPr>
              <w:t>nformed</w:t>
            </w:r>
          </w:p>
          <w:p w:rsidR="00C17731" w:rsidRPr="00C17731" w:rsidRDefault="00C17731" w:rsidP="00C17731">
            <w:pPr>
              <w:rPr>
                <w:b/>
              </w:rPr>
            </w:pPr>
          </w:p>
          <w:p w:rsidR="0052011D" w:rsidRDefault="0052011D" w:rsidP="006A4460">
            <w:r>
              <w:t>This group seeks to understand and incorporate into policy patients’ / groups’ views. Three locality leads attend and feedback views from their own networks and PPGs Public meetings are currently taking place in order to communicate with patients in Mid Essex. Two important issues are out for public consultation. The proposed cuts to IVF services (see link) and the proposed changes to immediate care (</w:t>
            </w:r>
            <w:proofErr w:type="spellStart"/>
            <w:r>
              <w:t>e.g</w:t>
            </w:r>
            <w:proofErr w:type="spellEnd"/>
            <w:r>
              <w:t>, Accident and Emergency).</w:t>
            </w:r>
          </w:p>
          <w:p w:rsidR="00C17731" w:rsidRDefault="00C17731" w:rsidP="006A4460"/>
        </w:tc>
        <w:tc>
          <w:tcPr>
            <w:tcW w:w="2551" w:type="dxa"/>
            <w:tcBorders>
              <w:top w:val="single" w:sz="4" w:space="0" w:color="auto"/>
              <w:left w:val="single" w:sz="4" w:space="0" w:color="auto"/>
              <w:bottom w:val="single" w:sz="4" w:space="0" w:color="auto"/>
              <w:right w:val="single" w:sz="4" w:space="0" w:color="auto"/>
            </w:tcBorders>
            <w:hideMark/>
          </w:tcPr>
          <w:p w:rsidR="0052011D" w:rsidRDefault="0052011D" w:rsidP="006A4460">
            <w:pPr>
              <w:rPr>
                <w:b/>
              </w:rPr>
            </w:pPr>
            <w:r>
              <w:rPr>
                <w:b/>
              </w:rPr>
              <w:t>All</w:t>
            </w:r>
          </w:p>
          <w:p w:rsidR="0052011D" w:rsidRDefault="0052011D" w:rsidP="006A4460">
            <w:r>
              <w:t>Check these website addresses.</w:t>
            </w:r>
          </w:p>
          <w:p w:rsidR="0052011D" w:rsidRPr="00C17731" w:rsidRDefault="0052011D" w:rsidP="006A4460">
            <w:pPr>
              <w:rPr>
                <w:sz w:val="18"/>
                <w:szCs w:val="18"/>
              </w:rPr>
            </w:pPr>
            <w:hyperlink r:id="rId8" w:history="1">
              <w:r w:rsidRPr="00C17731">
                <w:rPr>
                  <w:rStyle w:val="Hyperlink"/>
                  <w:sz w:val="18"/>
                  <w:szCs w:val="18"/>
                </w:rPr>
                <w:t>www.healthwatchessex.org.uk</w:t>
              </w:r>
            </w:hyperlink>
          </w:p>
          <w:p w:rsidR="0052011D" w:rsidRPr="00C17731" w:rsidRDefault="0052011D" w:rsidP="006A4460">
            <w:pPr>
              <w:rPr>
                <w:sz w:val="18"/>
                <w:szCs w:val="18"/>
              </w:rPr>
            </w:pPr>
          </w:p>
          <w:p w:rsidR="0052011D" w:rsidRPr="00C17731" w:rsidRDefault="0052011D" w:rsidP="006A4460">
            <w:pPr>
              <w:rPr>
                <w:sz w:val="18"/>
                <w:szCs w:val="18"/>
              </w:rPr>
            </w:pPr>
            <w:hyperlink r:id="rId9" w:history="1">
              <w:r w:rsidRPr="00C17731">
                <w:rPr>
                  <w:rStyle w:val="Hyperlink"/>
                  <w:sz w:val="18"/>
                  <w:szCs w:val="18"/>
                </w:rPr>
                <w:t>http://www.midessexccg.nhs.uk/public-consultations/fetility-services-consultation</w:t>
              </w:r>
            </w:hyperlink>
          </w:p>
          <w:p w:rsidR="0052011D" w:rsidRDefault="0052011D" w:rsidP="006A4460"/>
        </w:tc>
      </w:tr>
      <w:tr w:rsidR="0052011D" w:rsidTr="0052011D">
        <w:trPr>
          <w:trHeight w:val="70"/>
        </w:trPr>
        <w:tc>
          <w:tcPr>
            <w:tcW w:w="959" w:type="dxa"/>
            <w:tcBorders>
              <w:top w:val="single" w:sz="4" w:space="0" w:color="auto"/>
              <w:left w:val="single" w:sz="4" w:space="0" w:color="auto"/>
              <w:bottom w:val="single" w:sz="4" w:space="0" w:color="auto"/>
              <w:right w:val="single" w:sz="4" w:space="0" w:color="auto"/>
            </w:tcBorders>
          </w:tcPr>
          <w:p w:rsidR="0052011D" w:rsidRDefault="00C17731" w:rsidP="006A4460">
            <w:r>
              <w:t>6</w:t>
            </w:r>
          </w:p>
          <w:p w:rsidR="0052011D" w:rsidRDefault="0052011D" w:rsidP="006A4460"/>
          <w:p w:rsidR="0052011D" w:rsidRDefault="0052011D" w:rsidP="006A4460"/>
        </w:tc>
        <w:tc>
          <w:tcPr>
            <w:tcW w:w="6804" w:type="dxa"/>
            <w:tcBorders>
              <w:top w:val="single" w:sz="4" w:space="0" w:color="auto"/>
              <w:left w:val="single" w:sz="4" w:space="0" w:color="auto"/>
              <w:bottom w:val="single" w:sz="4" w:space="0" w:color="auto"/>
              <w:right w:val="single" w:sz="4" w:space="0" w:color="auto"/>
            </w:tcBorders>
            <w:hideMark/>
          </w:tcPr>
          <w:p w:rsidR="0052011D" w:rsidRPr="00C17731" w:rsidRDefault="00C17731" w:rsidP="006A4460">
            <w:pPr>
              <w:rPr>
                <w:b/>
              </w:rPr>
            </w:pPr>
            <w:r>
              <w:rPr>
                <w:b/>
              </w:rPr>
              <w:t>Next M</w:t>
            </w:r>
            <w:r w:rsidRPr="00C17731">
              <w:rPr>
                <w:b/>
              </w:rPr>
              <w:t>eeting</w:t>
            </w:r>
          </w:p>
          <w:p w:rsidR="0052011D" w:rsidRDefault="0052011D" w:rsidP="006A4460">
            <w:r>
              <w:t>A further meeting is planned during October.</w:t>
            </w:r>
          </w:p>
        </w:tc>
        <w:tc>
          <w:tcPr>
            <w:tcW w:w="2551" w:type="dxa"/>
            <w:tcBorders>
              <w:top w:val="single" w:sz="4" w:space="0" w:color="auto"/>
              <w:left w:val="single" w:sz="4" w:space="0" w:color="auto"/>
              <w:bottom w:val="single" w:sz="4" w:space="0" w:color="auto"/>
              <w:right w:val="single" w:sz="4" w:space="0" w:color="auto"/>
            </w:tcBorders>
          </w:tcPr>
          <w:p w:rsidR="0052011D" w:rsidRDefault="0052011D" w:rsidP="006A4460"/>
        </w:tc>
      </w:tr>
    </w:tbl>
    <w:p w:rsidR="00484EAA" w:rsidRDefault="00484EAA" w:rsidP="00484EAA">
      <w:pPr>
        <w:rPr>
          <w:rFonts w:ascii="Tahoma" w:hAnsi="Tahoma" w:cs="Tahoma"/>
          <w:sz w:val="20"/>
          <w:szCs w:val="20"/>
        </w:rPr>
      </w:pPr>
    </w:p>
    <w:p w:rsidR="00484EAA" w:rsidRPr="00C17731" w:rsidRDefault="00484EAA" w:rsidP="00484EAA">
      <w:pPr>
        <w:rPr>
          <w:rFonts w:ascii="Tahoma" w:hAnsi="Tahoma" w:cs="Tahoma"/>
          <w:b/>
          <w:sz w:val="20"/>
          <w:szCs w:val="20"/>
        </w:rPr>
      </w:pPr>
      <w:r w:rsidRPr="00C17731">
        <w:rPr>
          <w:rFonts w:ascii="Tahoma" w:hAnsi="Tahoma" w:cs="Tahoma"/>
          <w:b/>
          <w:sz w:val="20"/>
          <w:szCs w:val="20"/>
        </w:rPr>
        <w:t xml:space="preserve">Meeting ended at </w:t>
      </w:r>
      <w:r w:rsidR="00C17731" w:rsidRPr="00C17731">
        <w:rPr>
          <w:rFonts w:ascii="Tahoma" w:hAnsi="Tahoma" w:cs="Tahoma"/>
          <w:b/>
          <w:sz w:val="20"/>
          <w:szCs w:val="20"/>
        </w:rPr>
        <w:t>7:52pm</w:t>
      </w:r>
    </w:p>
    <w:p w:rsidR="00484EAA" w:rsidRDefault="00484EAA" w:rsidP="00484EAA">
      <w:pPr>
        <w:rPr>
          <w:rFonts w:ascii="Tahoma" w:hAnsi="Tahoma" w:cs="Tahoma"/>
          <w:sz w:val="20"/>
          <w:szCs w:val="20"/>
        </w:rPr>
      </w:pPr>
    </w:p>
    <w:p w:rsidR="00484EAA" w:rsidRDefault="00484EAA" w:rsidP="00484EAA">
      <w:pPr>
        <w:jc w:val="center"/>
        <w:rPr>
          <w:rFonts w:ascii="Tahoma" w:hAnsi="Tahoma" w:cs="Tahoma"/>
          <w:sz w:val="20"/>
          <w:szCs w:val="20"/>
        </w:rPr>
      </w:pPr>
      <w:r>
        <w:rPr>
          <w:rFonts w:ascii="Tahoma" w:hAnsi="Tahoma" w:cs="Tahoma"/>
          <w:sz w:val="20"/>
          <w:szCs w:val="20"/>
        </w:rPr>
        <w:t xml:space="preserve">…………………………………. </w:t>
      </w:r>
    </w:p>
    <w:p w:rsidR="007F0A3C" w:rsidRPr="00E8456C" w:rsidRDefault="007F0A3C" w:rsidP="00484EAA">
      <w:pPr>
        <w:spacing w:after="0" w:line="240" w:lineRule="auto"/>
      </w:pPr>
    </w:p>
    <w:sectPr w:rsidR="007F0A3C" w:rsidRPr="00E8456C" w:rsidSect="002A70C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E7"/>
    <w:rsid w:val="002A70C1"/>
    <w:rsid w:val="003E4778"/>
    <w:rsid w:val="00484EAA"/>
    <w:rsid w:val="00505683"/>
    <w:rsid w:val="0052011D"/>
    <w:rsid w:val="005A0B83"/>
    <w:rsid w:val="005F4452"/>
    <w:rsid w:val="007D625C"/>
    <w:rsid w:val="007F0A3C"/>
    <w:rsid w:val="00A13D59"/>
    <w:rsid w:val="00A32CC5"/>
    <w:rsid w:val="00B64DA6"/>
    <w:rsid w:val="00C17731"/>
    <w:rsid w:val="00C63851"/>
    <w:rsid w:val="00C966E7"/>
    <w:rsid w:val="00E83274"/>
    <w:rsid w:val="00E8456C"/>
    <w:rsid w:val="00F0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essex.org.uk" TargetMode="External"/><Relationship Id="rId3" Type="http://schemas.microsoft.com/office/2007/relationships/stylesWithEffects" Target="stylesWithEffects.xml"/><Relationship Id="rId7" Type="http://schemas.openxmlformats.org/officeDocument/2006/relationships/hyperlink" Target="http://www.fernhousesurger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dessexccg.nhs.uk/public-consultations/fetility-services-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1CEF-FA5D-4881-B40E-FCA505AF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dc:description/>
  <cp:lastModifiedBy>Lorraine Hendon</cp:lastModifiedBy>
  <cp:revision>7</cp:revision>
  <dcterms:created xsi:type="dcterms:W3CDTF">2014-08-26T07:40:00Z</dcterms:created>
  <dcterms:modified xsi:type="dcterms:W3CDTF">2014-08-26T07:49:00Z</dcterms:modified>
</cp:coreProperties>
</file>